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90C548" w14:textId="4E9F2069" w:rsidR="0068723A" w:rsidRPr="00B36D13" w:rsidRDefault="00AD61D7" w:rsidP="0068723A">
      <w:pPr>
        <w:pStyle w:val="Heading1"/>
      </w:pPr>
      <w:bookmarkStart w:id="0" w:name="_Toc125708228"/>
      <w:r>
        <w:t>Lecture 5: Supply r</w:t>
      </w:r>
      <w:r w:rsidR="0068723A" w:rsidRPr="00B36D13">
        <w:t>esponsiveness</w:t>
      </w:r>
      <w:bookmarkEnd w:id="0"/>
      <w:r w:rsidR="0068723A" w:rsidRPr="00B36D13">
        <w:t xml:space="preserve"> </w:t>
      </w:r>
    </w:p>
    <w:p w14:paraId="2650F1F9" w14:textId="2121E9D2" w:rsidR="00B36D13" w:rsidRPr="004C52E9" w:rsidRDefault="004C52E9" w:rsidP="00925F5C">
      <w:pPr>
        <w:rPr>
          <w:b/>
        </w:rPr>
      </w:pPr>
      <w:r>
        <w:rPr>
          <w:rFonts w:asciiTheme="majorHAnsi" w:hAnsiTheme="majorHAnsi"/>
          <w:b/>
          <w:noProof/>
          <w:color w:val="548DD4"/>
        </w:rPr>
        <mc:AlternateContent>
          <mc:Choice Requires="wps">
            <w:drawing>
              <wp:anchor distT="0" distB="0" distL="114300" distR="114300" simplePos="0" relativeHeight="251663360" behindDoc="0" locked="0" layoutInCell="1" allowOverlap="1" wp14:anchorId="37A63831" wp14:editId="46F5C23D">
                <wp:simplePos x="0" y="0"/>
                <wp:positionH relativeFrom="column">
                  <wp:posOffset>-19685</wp:posOffset>
                </wp:positionH>
                <wp:positionV relativeFrom="paragraph">
                  <wp:posOffset>252095</wp:posOffset>
                </wp:positionV>
                <wp:extent cx="5557520" cy="5826760"/>
                <wp:effectExtent l="0" t="0" r="30480" b="15240"/>
                <wp:wrapTight wrapText="bothSides">
                  <wp:wrapPolygon edited="0">
                    <wp:start x="0" y="0"/>
                    <wp:lineTo x="0" y="21562"/>
                    <wp:lineTo x="21620" y="21562"/>
                    <wp:lineTo x="21620" y="0"/>
                    <wp:lineTo x="0" y="0"/>
                  </wp:wrapPolygon>
                </wp:wrapTight>
                <wp:docPr id="3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7520" cy="582676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ACAE665" w14:textId="6BA209B5" w:rsidR="008945D0" w:rsidRPr="002E11ED" w:rsidRDefault="008945D0" w:rsidP="0068723A">
                            <w:pPr>
                              <w:rPr>
                                <w:rFonts w:ascii="Cambria" w:hAnsi="Cambria"/>
                                <w:u w:val="single"/>
                              </w:rPr>
                            </w:pPr>
                            <w:bookmarkStart w:id="1" w:name="_GoBack"/>
                            <w:r>
                              <w:rPr>
                                <w:rFonts w:ascii="Cambria" w:hAnsi="Cambria"/>
                                <w:u w:val="single"/>
                              </w:rPr>
                              <w:t xml:space="preserve">Supply responsiveness </w:t>
                            </w:r>
                          </w:p>
                          <w:p w14:paraId="04F5933A" w14:textId="77777777" w:rsidR="008945D0" w:rsidRPr="002E11ED" w:rsidRDefault="008945D0" w:rsidP="0068723A">
                            <w:pPr>
                              <w:pStyle w:val="ListParagraph"/>
                              <w:numPr>
                                <w:ilvl w:val="0"/>
                                <w:numId w:val="1"/>
                              </w:numPr>
                              <w:rPr>
                                <w:rFonts w:ascii="Cambria" w:hAnsi="Cambria"/>
                              </w:rPr>
                            </w:pPr>
                            <w:r w:rsidRPr="002E11ED">
                              <w:rPr>
                                <w:rFonts w:ascii="Cambria" w:hAnsi="Cambria"/>
                              </w:rPr>
                              <w:t xml:space="preserve">Spatial &amp; Temporal Price Analysis </w:t>
                            </w:r>
                          </w:p>
                          <w:p w14:paraId="5C1DC626" w14:textId="77777777" w:rsidR="008945D0" w:rsidRDefault="008945D0" w:rsidP="0068723A">
                            <w:pPr>
                              <w:pStyle w:val="ListParagraph"/>
                              <w:numPr>
                                <w:ilvl w:val="0"/>
                                <w:numId w:val="1"/>
                              </w:numPr>
                              <w:rPr>
                                <w:rFonts w:ascii="Cambria" w:hAnsi="Cambria"/>
                              </w:rPr>
                            </w:pPr>
                            <w:r w:rsidRPr="002E11ED">
                              <w:rPr>
                                <w:rFonts w:ascii="Cambria" w:hAnsi="Cambria"/>
                              </w:rPr>
                              <w:t>Market Integration</w:t>
                            </w:r>
                          </w:p>
                          <w:p w14:paraId="3B403F37" w14:textId="2AC5E325" w:rsidR="008945D0" w:rsidRPr="002E11ED" w:rsidRDefault="008945D0" w:rsidP="0068723A">
                            <w:pPr>
                              <w:pStyle w:val="ListParagraph"/>
                              <w:numPr>
                                <w:ilvl w:val="0"/>
                                <w:numId w:val="1"/>
                              </w:numPr>
                              <w:rPr>
                                <w:rFonts w:ascii="Cambria" w:hAnsi="Cambria"/>
                              </w:rPr>
                            </w:pPr>
                            <w:r>
                              <w:rPr>
                                <w:rFonts w:ascii="Cambria" w:hAnsi="Cambria"/>
                              </w:rPr>
                              <w:t>Parity Bounds Model (supplemental)</w:t>
                            </w:r>
                          </w:p>
                          <w:p w14:paraId="7D4794D7" w14:textId="77777777" w:rsidR="008945D0" w:rsidRPr="002E11ED" w:rsidRDefault="008945D0" w:rsidP="0068723A">
                            <w:pPr>
                              <w:rPr>
                                <w:rFonts w:ascii="Cambria" w:hAnsi="Cambria"/>
                              </w:rPr>
                            </w:pPr>
                          </w:p>
                          <w:p w14:paraId="1EF15CDD" w14:textId="77777777" w:rsidR="00546D59" w:rsidRPr="00F3071E" w:rsidRDefault="00546D59" w:rsidP="00546D59">
                            <w:pPr>
                              <w:rPr>
                                <w:rFonts w:ascii="Cambria" w:hAnsi="Cambria"/>
                                <w:i/>
                              </w:rPr>
                            </w:pPr>
                            <w:r w:rsidRPr="00F3071E">
                              <w:rPr>
                                <w:rFonts w:ascii="Cambria" w:hAnsi="Cambria"/>
                                <w:i/>
                              </w:rPr>
                              <w:t>Readings</w:t>
                            </w:r>
                          </w:p>
                          <w:p w14:paraId="2C843BAA" w14:textId="77777777" w:rsidR="00546D59" w:rsidRPr="00F3071E" w:rsidRDefault="00546D59" w:rsidP="00546D59">
                            <w:pPr>
                              <w:pStyle w:val="ListParagraph"/>
                              <w:numPr>
                                <w:ilvl w:val="0"/>
                                <w:numId w:val="1"/>
                              </w:numPr>
                              <w:rPr>
                                <w:rFonts w:ascii="Cambria" w:hAnsi="Cambria"/>
                              </w:rPr>
                            </w:pPr>
                            <w:r w:rsidRPr="00F3071E">
                              <w:rPr>
                                <w:rFonts w:ascii="Cambria" w:hAnsi="Cambria"/>
                              </w:rPr>
                              <w:t xml:space="preserve">Barrett C. (2008) “Spatial Market Integration” in </w:t>
                            </w:r>
                            <w:proofErr w:type="spellStart"/>
                            <w:r w:rsidRPr="00F3071E">
                              <w:rPr>
                                <w:rFonts w:ascii="Cambria" w:hAnsi="Cambria"/>
                              </w:rPr>
                              <w:t>Durlauf</w:t>
                            </w:r>
                            <w:proofErr w:type="spellEnd"/>
                            <w:r w:rsidRPr="00F3071E">
                              <w:rPr>
                                <w:rFonts w:ascii="Cambria" w:hAnsi="Cambria"/>
                              </w:rPr>
                              <w:t xml:space="preserve">, S., and </w:t>
                            </w:r>
                            <w:proofErr w:type="spellStart"/>
                            <w:r w:rsidRPr="00F3071E">
                              <w:rPr>
                                <w:rFonts w:ascii="Cambria" w:hAnsi="Cambria"/>
                              </w:rPr>
                              <w:t>Blume</w:t>
                            </w:r>
                            <w:proofErr w:type="spellEnd"/>
                            <w:r w:rsidRPr="00F3071E">
                              <w:rPr>
                                <w:rFonts w:ascii="Cambria" w:hAnsi="Cambria"/>
                              </w:rPr>
                              <w:t xml:space="preserve">, L., </w:t>
                            </w:r>
                            <w:proofErr w:type="gramStart"/>
                            <w:r w:rsidRPr="00F3071E">
                              <w:rPr>
                                <w:rFonts w:ascii="Cambria" w:hAnsi="Cambria"/>
                              </w:rPr>
                              <w:t>ed</w:t>
                            </w:r>
                            <w:proofErr w:type="gramEnd"/>
                            <w:r w:rsidRPr="00F3071E">
                              <w:rPr>
                                <w:rFonts w:ascii="Cambria" w:hAnsi="Cambria"/>
                              </w:rPr>
                              <w:t xml:space="preserve">. New Palgrave Dictionary of Economics. </w:t>
                            </w:r>
                            <w:hyperlink r:id="rId9" w:history="1">
                              <w:r w:rsidRPr="00F3071E">
                                <w:rPr>
                                  <w:rStyle w:val="Hyperlink"/>
                                  <w:rFonts w:ascii="Cambria" w:hAnsi="Cambria"/>
                                </w:rPr>
                                <w:t>http://www.dictionaryofeconomics.com/article?id=pde2008_S000448</w:t>
                              </w:r>
                            </w:hyperlink>
                          </w:p>
                          <w:p w14:paraId="67F1B721" w14:textId="77777777" w:rsidR="00546D59" w:rsidRPr="00F3071E" w:rsidRDefault="00546D59" w:rsidP="00546D59">
                            <w:pPr>
                              <w:pStyle w:val="ListParagraph"/>
                              <w:numPr>
                                <w:ilvl w:val="0"/>
                                <w:numId w:val="1"/>
                              </w:numPr>
                              <w:rPr>
                                <w:rFonts w:ascii="Cambria" w:hAnsi="Cambria"/>
                              </w:rPr>
                            </w:pPr>
                            <w:r w:rsidRPr="00F3071E">
                              <w:rPr>
                                <w:rFonts w:ascii="Cambria" w:hAnsi="Cambria"/>
                              </w:rPr>
                              <w:t xml:space="preserve">World Food Program (2008) “PDPE Market Analysis Tool: Market Integration.” </w:t>
                            </w:r>
                            <w:r>
                              <w:rPr>
                                <w:rFonts w:ascii="Cambria" w:hAnsi="Cambria"/>
                                <w:i/>
                              </w:rPr>
                              <w:t xml:space="preserve"> </w:t>
                            </w:r>
                            <w:hyperlink r:id="rId10" w:history="1">
                              <w:r>
                                <w:rPr>
                                  <w:rStyle w:val="Hyperlink"/>
                                </w:rPr>
                                <w:t>http://documents.wfp.org/stellent/groups/public/documents/manual_guide_proced/wfp187901.pdf</w:t>
                              </w:r>
                            </w:hyperlink>
                          </w:p>
                          <w:p w14:paraId="5F2EDD3C" w14:textId="77777777" w:rsidR="000F063B" w:rsidRDefault="000F063B" w:rsidP="000F063B">
                            <w:pPr>
                              <w:pStyle w:val="ListParagraph"/>
                              <w:numPr>
                                <w:ilvl w:val="0"/>
                                <w:numId w:val="1"/>
                              </w:numPr>
                              <w:rPr>
                                <w:rFonts w:ascii="Cambria" w:hAnsi="Cambria"/>
                              </w:rPr>
                            </w:pPr>
                            <w:r w:rsidRPr="00F3071E">
                              <w:rPr>
                                <w:rFonts w:ascii="Cambria" w:hAnsi="Cambria"/>
                              </w:rPr>
                              <w:t xml:space="preserve">Lentz, E.C. (2011) “LRP: Monitoring and Analyzing Data 25 March 2011.doc”. Draft. </w:t>
                            </w:r>
                            <w:hyperlink r:id="rId11" w:history="1">
                              <w:r w:rsidRPr="00064486">
                                <w:rPr>
                                  <w:rStyle w:val="Hyperlink"/>
                                  <w:rFonts w:cstheme="minorHAnsi"/>
                                  <w:lang w:val="en-GB"/>
                                </w:rPr>
                                <w:t>http://dyson.cornell.edu/faculty_sites/cbb2/MIFIRA/apps/</w:t>
                              </w:r>
                            </w:hyperlink>
                          </w:p>
                          <w:p w14:paraId="23EA1D44" w14:textId="77777777" w:rsidR="000F063B" w:rsidRDefault="000F063B" w:rsidP="000F063B">
                            <w:pPr>
                              <w:pStyle w:val="ListParagraph"/>
                              <w:numPr>
                                <w:ilvl w:val="0"/>
                                <w:numId w:val="1"/>
                              </w:numPr>
                              <w:rPr>
                                <w:rFonts w:ascii="Cambria" w:hAnsi="Cambria"/>
                              </w:rPr>
                            </w:pPr>
                            <w:r w:rsidRPr="00B415D4">
                              <w:rPr>
                                <w:rFonts w:ascii="Cambria" w:hAnsi="Cambria"/>
                              </w:rPr>
                              <w:t>Lentz, E.C. (2011) “Lentz 11 LRP Price An</w:t>
                            </w:r>
                            <w:r>
                              <w:rPr>
                                <w:rFonts w:ascii="Cambria" w:hAnsi="Cambria"/>
                              </w:rPr>
                              <w:t xml:space="preserve">alysis - How Prices Change.ppt” </w:t>
                            </w:r>
                            <w:hyperlink r:id="rId12" w:history="1">
                              <w:r w:rsidRPr="00064486">
                                <w:rPr>
                                  <w:rStyle w:val="Hyperlink"/>
                                  <w:rFonts w:cstheme="minorHAnsi"/>
                                  <w:lang w:val="en-GB"/>
                                </w:rPr>
                                <w:t>http://dyson.cornell.edu/faculty_sites/cbb2/MIFIRA/apps/</w:t>
                              </w:r>
                            </w:hyperlink>
                          </w:p>
                          <w:p w14:paraId="677184B4" w14:textId="77777777" w:rsidR="000F063B" w:rsidRDefault="000F063B" w:rsidP="000F063B">
                            <w:pPr>
                              <w:pStyle w:val="ListParagraph"/>
                              <w:numPr>
                                <w:ilvl w:val="0"/>
                                <w:numId w:val="1"/>
                              </w:numPr>
                              <w:rPr>
                                <w:rFonts w:ascii="Cambria" w:hAnsi="Cambria"/>
                              </w:rPr>
                            </w:pPr>
                            <w:r w:rsidRPr="00B415D4">
                              <w:rPr>
                                <w:rFonts w:ascii="Cambria" w:hAnsi="Cambria"/>
                              </w:rPr>
                              <w:t xml:space="preserve">Lentz, E.C. (2011) “Lentz 12 LRP Price Analysis – Approaches to Analysis.ppt” Draft. </w:t>
                            </w:r>
                            <w:hyperlink r:id="rId13" w:history="1">
                              <w:r w:rsidRPr="00064486">
                                <w:rPr>
                                  <w:rStyle w:val="Hyperlink"/>
                                  <w:rFonts w:cstheme="minorHAnsi"/>
                                  <w:lang w:val="en-GB"/>
                                </w:rPr>
                                <w:t>http://dyson.cornell.edu/faculty_sites/cbb2/MIFIRA/apps/</w:t>
                              </w:r>
                            </w:hyperlink>
                          </w:p>
                          <w:p w14:paraId="08FCE6C7" w14:textId="77777777" w:rsidR="000F063B" w:rsidRPr="00B415D4" w:rsidRDefault="000F063B" w:rsidP="000F063B">
                            <w:pPr>
                              <w:pStyle w:val="ListParagraph"/>
                              <w:numPr>
                                <w:ilvl w:val="0"/>
                                <w:numId w:val="1"/>
                              </w:numPr>
                              <w:rPr>
                                <w:rFonts w:ascii="Cambria" w:hAnsi="Cambria"/>
                              </w:rPr>
                            </w:pPr>
                            <w:r w:rsidRPr="00B415D4">
                              <w:rPr>
                                <w:rFonts w:ascii="Cambria" w:hAnsi="Cambria"/>
                              </w:rPr>
                              <w:t xml:space="preserve">“Maize Kenya price series </w:t>
                            </w:r>
                            <w:proofErr w:type="spellStart"/>
                            <w:r w:rsidRPr="00B415D4">
                              <w:rPr>
                                <w:rFonts w:ascii="Cambria" w:hAnsi="Cambria"/>
                              </w:rPr>
                              <w:t>detrend</w:t>
                            </w:r>
                            <w:proofErr w:type="spellEnd"/>
                            <w:r w:rsidRPr="00B415D4">
                              <w:rPr>
                                <w:rFonts w:ascii="Cambria" w:hAnsi="Cambria"/>
                              </w:rPr>
                              <w:t xml:space="preserve"> and deseasonalize.xls”</w:t>
                            </w:r>
                            <w:r>
                              <w:rPr>
                                <w:rFonts w:cstheme="minorHAnsi"/>
                                <w:lang w:val="en-GB"/>
                              </w:rPr>
                              <w:t xml:space="preserve"> </w:t>
                            </w:r>
                            <w:hyperlink r:id="rId14" w:history="1">
                              <w:r w:rsidRPr="00064486">
                                <w:rPr>
                                  <w:rStyle w:val="Hyperlink"/>
                                  <w:rFonts w:cstheme="minorHAnsi"/>
                                  <w:lang w:val="en-GB"/>
                                </w:rPr>
                                <w:t>http://dyson.cornell.edu/faculty_sites/cbb2/MIFIRA/apps/</w:t>
                              </w:r>
                            </w:hyperlink>
                            <w:r w:rsidRPr="00B415D4">
                              <w:rPr>
                                <w:rFonts w:ascii="Cambria" w:hAnsi="Cambria"/>
                              </w:rPr>
                              <w:t xml:space="preserve"> </w:t>
                            </w:r>
                          </w:p>
                          <w:p w14:paraId="7D17CE3D" w14:textId="77777777" w:rsidR="008945D0" w:rsidRDefault="008945D0" w:rsidP="004C52E9">
                            <w:pPr>
                              <w:rPr>
                                <w:rFonts w:ascii="Cambria" w:hAnsi="Cambria"/>
                              </w:rPr>
                            </w:pPr>
                          </w:p>
                          <w:p w14:paraId="154FEE01" w14:textId="77777777" w:rsidR="008945D0" w:rsidRPr="002E11ED" w:rsidRDefault="008945D0" w:rsidP="004C52E9">
                            <w:pPr>
                              <w:rPr>
                                <w:rFonts w:ascii="Cambria" w:hAnsi="Cambria"/>
                                <w:i/>
                              </w:rPr>
                            </w:pPr>
                            <w:r>
                              <w:rPr>
                                <w:rFonts w:ascii="Cambria" w:hAnsi="Cambria"/>
                                <w:i/>
                              </w:rPr>
                              <w:t xml:space="preserve">Supplementary </w:t>
                            </w:r>
                            <w:r w:rsidRPr="002E11ED">
                              <w:rPr>
                                <w:rFonts w:ascii="Cambria" w:hAnsi="Cambria"/>
                                <w:i/>
                              </w:rPr>
                              <w:t>Readings</w:t>
                            </w:r>
                          </w:p>
                          <w:p w14:paraId="596E7281" w14:textId="77777777" w:rsidR="008945D0" w:rsidRDefault="008945D0" w:rsidP="00D3766E">
                            <w:pPr>
                              <w:pStyle w:val="ListParagraph"/>
                              <w:numPr>
                                <w:ilvl w:val="0"/>
                                <w:numId w:val="1"/>
                              </w:numPr>
                              <w:rPr>
                                <w:rFonts w:ascii="Cambria" w:hAnsi="Cambria"/>
                              </w:rPr>
                            </w:pPr>
                            <w:proofErr w:type="spellStart"/>
                            <w:r w:rsidRPr="00D3766E">
                              <w:rPr>
                                <w:rFonts w:ascii="Cambria" w:hAnsi="Cambria"/>
                              </w:rPr>
                              <w:t>Fackler</w:t>
                            </w:r>
                            <w:proofErr w:type="spellEnd"/>
                            <w:r w:rsidRPr="00D3766E">
                              <w:rPr>
                                <w:rFonts w:ascii="Cambria" w:hAnsi="Cambria"/>
                              </w:rPr>
                              <w:t xml:space="preserve">, P.L. and B.K. Goodwin (2001) “Spatial Price Analysis,” in </w:t>
                            </w:r>
                            <w:r w:rsidRPr="002E11ED">
                              <w:rPr>
                                <w:rFonts w:ascii="Cambria" w:hAnsi="Cambria"/>
                              </w:rPr>
                              <w:t xml:space="preserve">G. </w:t>
                            </w:r>
                            <w:proofErr w:type="spellStart"/>
                            <w:r w:rsidRPr="002E11ED">
                              <w:rPr>
                                <w:rFonts w:ascii="Cambria" w:hAnsi="Cambria"/>
                              </w:rPr>
                              <w:t>Rausser</w:t>
                            </w:r>
                            <w:proofErr w:type="spellEnd"/>
                            <w:r w:rsidRPr="002E11ED">
                              <w:rPr>
                                <w:rFonts w:ascii="Cambria" w:hAnsi="Cambria"/>
                              </w:rPr>
                              <w:t xml:space="preserve"> and B. Gardner, eds., </w:t>
                            </w:r>
                            <w:r w:rsidRPr="00C07C14">
                              <w:rPr>
                                <w:rFonts w:ascii="Cambria" w:hAnsi="Cambria"/>
                                <w:i/>
                              </w:rPr>
                              <w:t>Handbook of Agricultural Economics</w:t>
                            </w:r>
                            <w:r w:rsidRPr="002E11ED">
                              <w:rPr>
                                <w:rFonts w:ascii="Cambria" w:hAnsi="Cambria"/>
                              </w:rPr>
                              <w:t>, Amsterdam: Elsevier.</w:t>
                            </w:r>
                          </w:p>
                          <w:p w14:paraId="7D2BA00B" w14:textId="77777777" w:rsidR="008945D0" w:rsidRDefault="008945D0" w:rsidP="00D3766E">
                            <w:pPr>
                              <w:pStyle w:val="ListParagraph"/>
                            </w:pPr>
                            <w:r w:rsidRPr="002E11ED">
                              <w:rPr>
                                <w:rFonts w:ascii="Cambria" w:hAnsi="Cambria"/>
                              </w:rPr>
                              <w:t xml:space="preserve"> </w:t>
                            </w:r>
                            <w:hyperlink r:id="rId15" w:history="1">
                              <w:proofErr w:type="gramStart"/>
                              <w:r>
                                <w:rPr>
                                  <w:rStyle w:val="Hyperlink"/>
                                </w:rPr>
                                <w:t>doi:10.1016</w:t>
                              </w:r>
                              <w:proofErr w:type="gramEnd"/>
                              <w:r>
                                <w:rPr>
                                  <w:rStyle w:val="Hyperlink"/>
                                </w:rPr>
                                <w:t>/S1574-0072(01)10025-3</w:t>
                              </w:r>
                            </w:hyperlink>
                          </w:p>
                          <w:p w14:paraId="267D48AD" w14:textId="7A36BDF2" w:rsidR="008945D0" w:rsidRPr="00925F5C" w:rsidRDefault="000F063B" w:rsidP="00925F5C">
                            <w:pPr>
                              <w:pStyle w:val="ListParagraph"/>
                              <w:rPr>
                                <w:rFonts w:ascii="Cambria" w:hAnsi="Cambria"/>
                              </w:rPr>
                            </w:pPr>
                            <w:hyperlink r:id="rId16" w:history="1">
                              <w:r w:rsidR="008945D0" w:rsidRPr="00714704">
                                <w:rPr>
                                  <w:rStyle w:val="Hyperlink"/>
                                  <w:rFonts w:ascii="Cambria" w:hAnsi="Cambria"/>
                                </w:rPr>
                                <w:t>http://www.sciencedirect.com/science/article/pii/S1574007201100253</w:t>
                              </w:r>
                            </w:hyperlink>
                            <w:r w:rsidR="008945D0">
                              <w:rPr>
                                <w:rFonts w:ascii="Cambria" w:hAnsi="Cambria"/>
                              </w:rPr>
                              <w:t xml:space="preserve"> </w:t>
                            </w:r>
                          </w:p>
                          <w:bookmarkEnd w:id="1"/>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1.5pt;margin-top:19.85pt;width:437.6pt;height:45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" filled="f" strokecolor="black [3213]">
                <v:textbox inset=",7.2pt,,7.2pt">
                  <w:txbxContent>
                    <w:p w14:paraId="6ACAE665" w14:textId="6BA209B5" w:rsidR="008945D0" w:rsidRPr="002E11ED" w:rsidRDefault="008945D0" w:rsidP="0068723A">
                      <w:pPr>
                        <w:rPr>
                          <w:rFonts w:ascii="Cambria" w:hAnsi="Cambria"/>
                          <w:u w:val="single"/>
                        </w:rPr>
                      </w:pPr>
                      <w:bookmarkStart w:id="2" w:name="_GoBack"/>
                      <w:r>
                        <w:rPr>
                          <w:rFonts w:ascii="Cambria" w:hAnsi="Cambria"/>
                          <w:u w:val="single"/>
                        </w:rPr>
                        <w:t xml:space="preserve">Supply responsiveness </w:t>
                      </w:r>
                    </w:p>
                    <w:p w14:paraId="04F5933A" w14:textId="77777777" w:rsidR="008945D0" w:rsidRPr="002E11ED" w:rsidRDefault="008945D0" w:rsidP="0068723A">
                      <w:pPr>
                        <w:pStyle w:val="ListParagraph"/>
                        <w:numPr>
                          <w:ilvl w:val="0"/>
                          <w:numId w:val="1"/>
                        </w:numPr>
                        <w:rPr>
                          <w:rFonts w:ascii="Cambria" w:hAnsi="Cambria"/>
                        </w:rPr>
                      </w:pPr>
                      <w:r w:rsidRPr="002E11ED">
                        <w:rPr>
                          <w:rFonts w:ascii="Cambria" w:hAnsi="Cambria"/>
                        </w:rPr>
                        <w:t xml:space="preserve">Spatial &amp; Temporal Price Analysis </w:t>
                      </w:r>
                    </w:p>
                    <w:p w14:paraId="5C1DC626" w14:textId="77777777" w:rsidR="008945D0" w:rsidRDefault="008945D0" w:rsidP="0068723A">
                      <w:pPr>
                        <w:pStyle w:val="ListParagraph"/>
                        <w:numPr>
                          <w:ilvl w:val="0"/>
                          <w:numId w:val="1"/>
                        </w:numPr>
                        <w:rPr>
                          <w:rFonts w:ascii="Cambria" w:hAnsi="Cambria"/>
                        </w:rPr>
                      </w:pPr>
                      <w:r w:rsidRPr="002E11ED">
                        <w:rPr>
                          <w:rFonts w:ascii="Cambria" w:hAnsi="Cambria"/>
                        </w:rPr>
                        <w:t>Market Integration</w:t>
                      </w:r>
                    </w:p>
                    <w:p w14:paraId="3B403F37" w14:textId="2AC5E325" w:rsidR="008945D0" w:rsidRPr="002E11ED" w:rsidRDefault="008945D0" w:rsidP="0068723A">
                      <w:pPr>
                        <w:pStyle w:val="ListParagraph"/>
                        <w:numPr>
                          <w:ilvl w:val="0"/>
                          <w:numId w:val="1"/>
                        </w:numPr>
                        <w:rPr>
                          <w:rFonts w:ascii="Cambria" w:hAnsi="Cambria"/>
                        </w:rPr>
                      </w:pPr>
                      <w:r>
                        <w:rPr>
                          <w:rFonts w:ascii="Cambria" w:hAnsi="Cambria"/>
                        </w:rPr>
                        <w:t>Parity Bounds Model (supplemental)</w:t>
                      </w:r>
                    </w:p>
                    <w:p w14:paraId="7D4794D7" w14:textId="77777777" w:rsidR="008945D0" w:rsidRPr="002E11ED" w:rsidRDefault="008945D0" w:rsidP="0068723A">
                      <w:pPr>
                        <w:rPr>
                          <w:rFonts w:ascii="Cambria" w:hAnsi="Cambria"/>
                        </w:rPr>
                      </w:pPr>
                    </w:p>
                    <w:p w14:paraId="1EF15CDD" w14:textId="77777777" w:rsidR="00546D59" w:rsidRPr="00F3071E" w:rsidRDefault="00546D59" w:rsidP="00546D59">
                      <w:pPr>
                        <w:rPr>
                          <w:rFonts w:ascii="Cambria" w:hAnsi="Cambria"/>
                          <w:i/>
                        </w:rPr>
                      </w:pPr>
                      <w:r w:rsidRPr="00F3071E">
                        <w:rPr>
                          <w:rFonts w:ascii="Cambria" w:hAnsi="Cambria"/>
                          <w:i/>
                        </w:rPr>
                        <w:t>Readings</w:t>
                      </w:r>
                    </w:p>
                    <w:p w14:paraId="2C843BAA" w14:textId="77777777" w:rsidR="00546D59" w:rsidRPr="00F3071E" w:rsidRDefault="00546D59" w:rsidP="00546D59">
                      <w:pPr>
                        <w:pStyle w:val="ListParagraph"/>
                        <w:numPr>
                          <w:ilvl w:val="0"/>
                          <w:numId w:val="1"/>
                        </w:numPr>
                        <w:rPr>
                          <w:rFonts w:ascii="Cambria" w:hAnsi="Cambria"/>
                        </w:rPr>
                      </w:pPr>
                      <w:r w:rsidRPr="00F3071E">
                        <w:rPr>
                          <w:rFonts w:ascii="Cambria" w:hAnsi="Cambria"/>
                        </w:rPr>
                        <w:t xml:space="preserve">Barrett C. (2008) “Spatial Market Integration” in </w:t>
                      </w:r>
                      <w:proofErr w:type="spellStart"/>
                      <w:r w:rsidRPr="00F3071E">
                        <w:rPr>
                          <w:rFonts w:ascii="Cambria" w:hAnsi="Cambria"/>
                        </w:rPr>
                        <w:t>Durlauf</w:t>
                      </w:r>
                      <w:proofErr w:type="spellEnd"/>
                      <w:r w:rsidRPr="00F3071E">
                        <w:rPr>
                          <w:rFonts w:ascii="Cambria" w:hAnsi="Cambria"/>
                        </w:rPr>
                        <w:t xml:space="preserve">, S., and </w:t>
                      </w:r>
                      <w:proofErr w:type="spellStart"/>
                      <w:r w:rsidRPr="00F3071E">
                        <w:rPr>
                          <w:rFonts w:ascii="Cambria" w:hAnsi="Cambria"/>
                        </w:rPr>
                        <w:t>Blume</w:t>
                      </w:r>
                      <w:proofErr w:type="spellEnd"/>
                      <w:r w:rsidRPr="00F3071E">
                        <w:rPr>
                          <w:rFonts w:ascii="Cambria" w:hAnsi="Cambria"/>
                        </w:rPr>
                        <w:t xml:space="preserve">, L., </w:t>
                      </w:r>
                      <w:proofErr w:type="gramStart"/>
                      <w:r w:rsidRPr="00F3071E">
                        <w:rPr>
                          <w:rFonts w:ascii="Cambria" w:hAnsi="Cambria"/>
                        </w:rPr>
                        <w:t>ed</w:t>
                      </w:r>
                      <w:proofErr w:type="gramEnd"/>
                      <w:r w:rsidRPr="00F3071E">
                        <w:rPr>
                          <w:rFonts w:ascii="Cambria" w:hAnsi="Cambria"/>
                        </w:rPr>
                        <w:t xml:space="preserve">. New Palgrave Dictionary of Economics. </w:t>
                      </w:r>
                      <w:hyperlink r:id="rId17" w:history="1">
                        <w:r w:rsidRPr="00F3071E">
                          <w:rPr>
                            <w:rStyle w:val="Hyperlink"/>
                            <w:rFonts w:ascii="Cambria" w:hAnsi="Cambria"/>
                          </w:rPr>
                          <w:t>http://www.dictionaryofeconomics.com/article?id=pde2008_S000448</w:t>
                        </w:r>
                      </w:hyperlink>
                    </w:p>
                    <w:p w14:paraId="67F1B721" w14:textId="77777777" w:rsidR="00546D59" w:rsidRPr="00F3071E" w:rsidRDefault="00546D59" w:rsidP="00546D59">
                      <w:pPr>
                        <w:pStyle w:val="ListParagraph"/>
                        <w:numPr>
                          <w:ilvl w:val="0"/>
                          <w:numId w:val="1"/>
                        </w:numPr>
                        <w:rPr>
                          <w:rFonts w:ascii="Cambria" w:hAnsi="Cambria"/>
                        </w:rPr>
                      </w:pPr>
                      <w:r w:rsidRPr="00F3071E">
                        <w:rPr>
                          <w:rFonts w:ascii="Cambria" w:hAnsi="Cambria"/>
                        </w:rPr>
                        <w:t xml:space="preserve">World Food Program (2008) “PDPE Market Analysis Tool: Market Integration.” </w:t>
                      </w:r>
                      <w:r>
                        <w:rPr>
                          <w:rFonts w:ascii="Cambria" w:hAnsi="Cambria"/>
                          <w:i/>
                        </w:rPr>
                        <w:t xml:space="preserve"> </w:t>
                      </w:r>
                      <w:hyperlink r:id="rId18" w:history="1">
                        <w:r>
                          <w:rPr>
                            <w:rStyle w:val="Hyperlink"/>
                          </w:rPr>
                          <w:t>http://documents.wfp.org/stellent/groups/public/documents/manual_guide_proced/wfp187901.pdf</w:t>
                        </w:r>
                      </w:hyperlink>
                    </w:p>
                    <w:p w14:paraId="5F2EDD3C" w14:textId="77777777" w:rsidR="000F063B" w:rsidRDefault="000F063B" w:rsidP="000F063B">
                      <w:pPr>
                        <w:pStyle w:val="ListParagraph"/>
                        <w:numPr>
                          <w:ilvl w:val="0"/>
                          <w:numId w:val="1"/>
                        </w:numPr>
                        <w:rPr>
                          <w:rFonts w:ascii="Cambria" w:hAnsi="Cambria"/>
                        </w:rPr>
                      </w:pPr>
                      <w:r w:rsidRPr="00F3071E">
                        <w:rPr>
                          <w:rFonts w:ascii="Cambria" w:hAnsi="Cambria"/>
                        </w:rPr>
                        <w:t xml:space="preserve">Lentz, E.C. (2011) “LRP: Monitoring and Analyzing Data 25 March 2011.doc”. Draft. </w:t>
                      </w:r>
                      <w:hyperlink r:id="rId19" w:history="1">
                        <w:r w:rsidRPr="00064486">
                          <w:rPr>
                            <w:rStyle w:val="Hyperlink"/>
                            <w:rFonts w:cstheme="minorHAnsi"/>
                            <w:lang w:val="en-GB"/>
                          </w:rPr>
                          <w:t>http://dyson.cornell.edu/faculty_sites/cbb2/MIFIRA/apps/</w:t>
                        </w:r>
                      </w:hyperlink>
                    </w:p>
                    <w:p w14:paraId="23EA1D44" w14:textId="77777777" w:rsidR="000F063B" w:rsidRDefault="000F063B" w:rsidP="000F063B">
                      <w:pPr>
                        <w:pStyle w:val="ListParagraph"/>
                        <w:numPr>
                          <w:ilvl w:val="0"/>
                          <w:numId w:val="1"/>
                        </w:numPr>
                        <w:rPr>
                          <w:rFonts w:ascii="Cambria" w:hAnsi="Cambria"/>
                        </w:rPr>
                      </w:pPr>
                      <w:r w:rsidRPr="00B415D4">
                        <w:rPr>
                          <w:rFonts w:ascii="Cambria" w:hAnsi="Cambria"/>
                        </w:rPr>
                        <w:t>Lentz, E.C. (2011) “Lentz 11 LRP Price An</w:t>
                      </w:r>
                      <w:r>
                        <w:rPr>
                          <w:rFonts w:ascii="Cambria" w:hAnsi="Cambria"/>
                        </w:rPr>
                        <w:t xml:space="preserve">alysis - How Prices Change.ppt” </w:t>
                      </w:r>
                      <w:hyperlink r:id="rId20" w:history="1">
                        <w:r w:rsidRPr="00064486">
                          <w:rPr>
                            <w:rStyle w:val="Hyperlink"/>
                            <w:rFonts w:cstheme="minorHAnsi"/>
                            <w:lang w:val="en-GB"/>
                          </w:rPr>
                          <w:t>http://dyson.cornell.edu/faculty_sites/cbb2/MIFIRA/apps/</w:t>
                        </w:r>
                      </w:hyperlink>
                    </w:p>
                    <w:p w14:paraId="677184B4" w14:textId="77777777" w:rsidR="000F063B" w:rsidRDefault="000F063B" w:rsidP="000F063B">
                      <w:pPr>
                        <w:pStyle w:val="ListParagraph"/>
                        <w:numPr>
                          <w:ilvl w:val="0"/>
                          <w:numId w:val="1"/>
                        </w:numPr>
                        <w:rPr>
                          <w:rFonts w:ascii="Cambria" w:hAnsi="Cambria"/>
                        </w:rPr>
                      </w:pPr>
                      <w:r w:rsidRPr="00B415D4">
                        <w:rPr>
                          <w:rFonts w:ascii="Cambria" w:hAnsi="Cambria"/>
                        </w:rPr>
                        <w:t xml:space="preserve">Lentz, E.C. (2011) “Lentz 12 LRP Price Analysis – Approaches to Analysis.ppt” Draft. </w:t>
                      </w:r>
                      <w:hyperlink r:id="rId21" w:history="1">
                        <w:r w:rsidRPr="00064486">
                          <w:rPr>
                            <w:rStyle w:val="Hyperlink"/>
                            <w:rFonts w:cstheme="minorHAnsi"/>
                            <w:lang w:val="en-GB"/>
                          </w:rPr>
                          <w:t>http://dyson.cornell.edu/faculty_sites/cbb2/MIFIRA/apps/</w:t>
                        </w:r>
                      </w:hyperlink>
                    </w:p>
                    <w:p w14:paraId="08FCE6C7" w14:textId="77777777" w:rsidR="000F063B" w:rsidRPr="00B415D4" w:rsidRDefault="000F063B" w:rsidP="000F063B">
                      <w:pPr>
                        <w:pStyle w:val="ListParagraph"/>
                        <w:numPr>
                          <w:ilvl w:val="0"/>
                          <w:numId w:val="1"/>
                        </w:numPr>
                        <w:rPr>
                          <w:rFonts w:ascii="Cambria" w:hAnsi="Cambria"/>
                        </w:rPr>
                      </w:pPr>
                      <w:r w:rsidRPr="00B415D4">
                        <w:rPr>
                          <w:rFonts w:ascii="Cambria" w:hAnsi="Cambria"/>
                        </w:rPr>
                        <w:t xml:space="preserve">“Maize Kenya price series </w:t>
                      </w:r>
                      <w:proofErr w:type="spellStart"/>
                      <w:r w:rsidRPr="00B415D4">
                        <w:rPr>
                          <w:rFonts w:ascii="Cambria" w:hAnsi="Cambria"/>
                        </w:rPr>
                        <w:t>detrend</w:t>
                      </w:r>
                      <w:proofErr w:type="spellEnd"/>
                      <w:r w:rsidRPr="00B415D4">
                        <w:rPr>
                          <w:rFonts w:ascii="Cambria" w:hAnsi="Cambria"/>
                        </w:rPr>
                        <w:t xml:space="preserve"> and deseasonalize.xls”</w:t>
                      </w:r>
                      <w:r>
                        <w:rPr>
                          <w:rFonts w:cstheme="minorHAnsi"/>
                          <w:lang w:val="en-GB"/>
                        </w:rPr>
                        <w:t xml:space="preserve"> </w:t>
                      </w:r>
                      <w:hyperlink r:id="rId22" w:history="1">
                        <w:r w:rsidRPr="00064486">
                          <w:rPr>
                            <w:rStyle w:val="Hyperlink"/>
                            <w:rFonts w:cstheme="minorHAnsi"/>
                            <w:lang w:val="en-GB"/>
                          </w:rPr>
                          <w:t>http://dyson.cornell.edu/faculty_sites/cbb2/MIFIRA/apps/</w:t>
                        </w:r>
                      </w:hyperlink>
                      <w:r w:rsidRPr="00B415D4">
                        <w:rPr>
                          <w:rFonts w:ascii="Cambria" w:hAnsi="Cambria"/>
                        </w:rPr>
                        <w:t xml:space="preserve"> </w:t>
                      </w:r>
                    </w:p>
                    <w:p w14:paraId="7D17CE3D" w14:textId="77777777" w:rsidR="008945D0" w:rsidRDefault="008945D0" w:rsidP="004C52E9">
                      <w:pPr>
                        <w:rPr>
                          <w:rFonts w:ascii="Cambria" w:hAnsi="Cambria"/>
                        </w:rPr>
                      </w:pPr>
                    </w:p>
                    <w:p w14:paraId="154FEE01" w14:textId="77777777" w:rsidR="008945D0" w:rsidRPr="002E11ED" w:rsidRDefault="008945D0" w:rsidP="004C52E9">
                      <w:pPr>
                        <w:rPr>
                          <w:rFonts w:ascii="Cambria" w:hAnsi="Cambria"/>
                          <w:i/>
                        </w:rPr>
                      </w:pPr>
                      <w:r>
                        <w:rPr>
                          <w:rFonts w:ascii="Cambria" w:hAnsi="Cambria"/>
                          <w:i/>
                        </w:rPr>
                        <w:t xml:space="preserve">Supplementary </w:t>
                      </w:r>
                      <w:r w:rsidRPr="002E11ED">
                        <w:rPr>
                          <w:rFonts w:ascii="Cambria" w:hAnsi="Cambria"/>
                          <w:i/>
                        </w:rPr>
                        <w:t>Readings</w:t>
                      </w:r>
                    </w:p>
                    <w:p w14:paraId="596E7281" w14:textId="77777777" w:rsidR="008945D0" w:rsidRDefault="008945D0" w:rsidP="00D3766E">
                      <w:pPr>
                        <w:pStyle w:val="ListParagraph"/>
                        <w:numPr>
                          <w:ilvl w:val="0"/>
                          <w:numId w:val="1"/>
                        </w:numPr>
                        <w:rPr>
                          <w:rFonts w:ascii="Cambria" w:hAnsi="Cambria"/>
                        </w:rPr>
                      </w:pPr>
                      <w:proofErr w:type="spellStart"/>
                      <w:r w:rsidRPr="00D3766E">
                        <w:rPr>
                          <w:rFonts w:ascii="Cambria" w:hAnsi="Cambria"/>
                        </w:rPr>
                        <w:t>Fackler</w:t>
                      </w:r>
                      <w:proofErr w:type="spellEnd"/>
                      <w:r w:rsidRPr="00D3766E">
                        <w:rPr>
                          <w:rFonts w:ascii="Cambria" w:hAnsi="Cambria"/>
                        </w:rPr>
                        <w:t xml:space="preserve">, P.L. and B.K. Goodwin (2001) “Spatial Price Analysis,” in </w:t>
                      </w:r>
                      <w:r w:rsidRPr="002E11ED">
                        <w:rPr>
                          <w:rFonts w:ascii="Cambria" w:hAnsi="Cambria"/>
                        </w:rPr>
                        <w:t xml:space="preserve">G. </w:t>
                      </w:r>
                      <w:proofErr w:type="spellStart"/>
                      <w:r w:rsidRPr="002E11ED">
                        <w:rPr>
                          <w:rFonts w:ascii="Cambria" w:hAnsi="Cambria"/>
                        </w:rPr>
                        <w:t>Rausser</w:t>
                      </w:r>
                      <w:proofErr w:type="spellEnd"/>
                      <w:r w:rsidRPr="002E11ED">
                        <w:rPr>
                          <w:rFonts w:ascii="Cambria" w:hAnsi="Cambria"/>
                        </w:rPr>
                        <w:t xml:space="preserve"> and B. Gardner, eds., </w:t>
                      </w:r>
                      <w:r w:rsidRPr="00C07C14">
                        <w:rPr>
                          <w:rFonts w:ascii="Cambria" w:hAnsi="Cambria"/>
                          <w:i/>
                        </w:rPr>
                        <w:t>Handbook of Agricultural Economics</w:t>
                      </w:r>
                      <w:r w:rsidRPr="002E11ED">
                        <w:rPr>
                          <w:rFonts w:ascii="Cambria" w:hAnsi="Cambria"/>
                        </w:rPr>
                        <w:t>, Amsterdam: Elsevier.</w:t>
                      </w:r>
                    </w:p>
                    <w:p w14:paraId="7D2BA00B" w14:textId="77777777" w:rsidR="008945D0" w:rsidRDefault="008945D0" w:rsidP="00D3766E">
                      <w:pPr>
                        <w:pStyle w:val="ListParagraph"/>
                      </w:pPr>
                      <w:r w:rsidRPr="002E11ED">
                        <w:rPr>
                          <w:rFonts w:ascii="Cambria" w:hAnsi="Cambria"/>
                        </w:rPr>
                        <w:t xml:space="preserve"> </w:t>
                      </w:r>
                      <w:hyperlink r:id="rId23" w:history="1">
                        <w:proofErr w:type="gramStart"/>
                        <w:r>
                          <w:rPr>
                            <w:rStyle w:val="Hyperlink"/>
                          </w:rPr>
                          <w:t>doi:10.1016</w:t>
                        </w:r>
                        <w:proofErr w:type="gramEnd"/>
                        <w:r>
                          <w:rPr>
                            <w:rStyle w:val="Hyperlink"/>
                          </w:rPr>
                          <w:t>/S1574-0072(01)10025-3</w:t>
                        </w:r>
                      </w:hyperlink>
                    </w:p>
                    <w:p w14:paraId="267D48AD" w14:textId="7A36BDF2" w:rsidR="008945D0" w:rsidRPr="00925F5C" w:rsidRDefault="000F063B" w:rsidP="00925F5C">
                      <w:pPr>
                        <w:pStyle w:val="ListParagraph"/>
                        <w:rPr>
                          <w:rFonts w:ascii="Cambria" w:hAnsi="Cambria"/>
                        </w:rPr>
                      </w:pPr>
                      <w:hyperlink r:id="rId24" w:history="1">
                        <w:r w:rsidR="008945D0" w:rsidRPr="00714704">
                          <w:rPr>
                            <w:rStyle w:val="Hyperlink"/>
                            <w:rFonts w:ascii="Cambria" w:hAnsi="Cambria"/>
                          </w:rPr>
                          <w:t>http://www.sciencedirect.com/science/article/pii/S1574007201100253</w:t>
                        </w:r>
                      </w:hyperlink>
                      <w:r w:rsidR="008945D0">
                        <w:rPr>
                          <w:rFonts w:ascii="Cambria" w:hAnsi="Cambria"/>
                        </w:rPr>
                        <w:t xml:space="preserve"> </w:t>
                      </w:r>
                    </w:p>
                    <w:bookmarkEnd w:id="2"/>
                  </w:txbxContent>
                </v:textbox>
                <w10:wrap type="tight"/>
              </v:shape>
            </w:pict>
          </mc:Fallback>
        </mc:AlternateContent>
      </w:r>
    </w:p>
    <w:p w14:paraId="352973A1" w14:textId="77777777" w:rsidR="00943B8F" w:rsidRDefault="00943B8F" w:rsidP="0068723A"/>
    <w:p w14:paraId="1245B4EE" w14:textId="29B9D321" w:rsidR="00712277" w:rsidRDefault="000026E2" w:rsidP="00712277">
      <w:r>
        <w:t xml:space="preserve">This </w:t>
      </w:r>
      <w:r w:rsidR="00712277">
        <w:t>lecture focuses on market integration tools/analytics</w:t>
      </w:r>
      <w:r w:rsidR="006148A3">
        <w:t>.</w:t>
      </w:r>
      <w:r w:rsidR="00712277">
        <w:t xml:space="preserve"> </w:t>
      </w:r>
      <w:r w:rsidR="00ED63B0">
        <w:t xml:space="preserve"> Market integration </w:t>
      </w:r>
      <w:r w:rsidR="00BD4930">
        <w:t>analysis can explain how well prices for the same commodity across different markets are spatially connected or how prices for a commodity within a market over time are related.</w:t>
      </w:r>
    </w:p>
    <w:p w14:paraId="173ACA98" w14:textId="77777777" w:rsidR="00712277" w:rsidRDefault="00712277" w:rsidP="00712277"/>
    <w:p w14:paraId="0BE3DCBF" w14:textId="151E7C51" w:rsidR="006C199C" w:rsidRDefault="00C04777" w:rsidP="00712277">
      <w:r>
        <w:lastRenderedPageBreak/>
        <w:t>Analysts</w:t>
      </w:r>
      <w:r w:rsidR="006C199C">
        <w:t xml:space="preserve"> with less familiarity with price analysis should review </w:t>
      </w:r>
      <w:r w:rsidR="001D47E7">
        <w:t xml:space="preserve">the </w:t>
      </w:r>
      <w:r w:rsidR="006C199C">
        <w:t>document and</w:t>
      </w:r>
      <w:r w:rsidR="001D47E7">
        <w:t xml:space="preserve"> accompanying</w:t>
      </w:r>
      <w:r w:rsidR="006C199C">
        <w:t xml:space="preserve"> </w:t>
      </w:r>
      <w:proofErr w:type="spellStart"/>
      <w:r w:rsidR="006C199C">
        <w:t>powerpoint</w:t>
      </w:r>
      <w:r w:rsidR="001D47E7">
        <w:t>s</w:t>
      </w:r>
      <w:proofErr w:type="spellEnd"/>
      <w:r w:rsidR="006C199C">
        <w:t xml:space="preserve"> created in 2011 for the LRP Learning Alliance on monitoring and analyzing price data. See:</w:t>
      </w:r>
    </w:p>
    <w:p w14:paraId="520ECF29" w14:textId="77777777" w:rsidR="006C199C" w:rsidRDefault="006C199C" w:rsidP="006C199C">
      <w:pPr>
        <w:pStyle w:val="ListParagraph"/>
        <w:numPr>
          <w:ilvl w:val="0"/>
          <w:numId w:val="1"/>
        </w:numPr>
        <w:rPr>
          <w:rFonts w:ascii="Cambria" w:hAnsi="Cambria"/>
        </w:rPr>
      </w:pPr>
      <w:r>
        <w:rPr>
          <w:rFonts w:ascii="Cambria" w:hAnsi="Cambria"/>
        </w:rPr>
        <w:t xml:space="preserve">Lentz, E.C. (2011) “LRP: Monitoring and Analyzing Data 25 March 2011.doc”. Draft. </w:t>
      </w:r>
    </w:p>
    <w:p w14:paraId="1D2E2898" w14:textId="77777777" w:rsidR="006C199C" w:rsidRPr="002E11ED" w:rsidRDefault="006C199C" w:rsidP="006C199C">
      <w:pPr>
        <w:pStyle w:val="ListParagraph"/>
        <w:numPr>
          <w:ilvl w:val="0"/>
          <w:numId w:val="1"/>
        </w:numPr>
        <w:rPr>
          <w:rFonts w:ascii="Cambria" w:hAnsi="Cambria"/>
        </w:rPr>
      </w:pPr>
      <w:r>
        <w:rPr>
          <w:rFonts w:ascii="Cambria" w:hAnsi="Cambria"/>
        </w:rPr>
        <w:t xml:space="preserve">Lentz, E.C. (2011) “Lentz 11 LRP Price Analysis - How Prices Change.ppt” Draft. </w:t>
      </w:r>
    </w:p>
    <w:p w14:paraId="0ED81AC0" w14:textId="77777777" w:rsidR="006C199C" w:rsidRDefault="006C199C" w:rsidP="006C199C">
      <w:pPr>
        <w:pStyle w:val="ListParagraph"/>
        <w:numPr>
          <w:ilvl w:val="0"/>
          <w:numId w:val="1"/>
        </w:numPr>
        <w:rPr>
          <w:rFonts w:ascii="Cambria" w:hAnsi="Cambria"/>
        </w:rPr>
      </w:pPr>
      <w:r>
        <w:rPr>
          <w:rFonts w:ascii="Cambria" w:hAnsi="Cambria"/>
        </w:rPr>
        <w:t xml:space="preserve">Lentz, E.C. (2011) “Lentz 12 LRP Price Analysis – Approaches to Analysis.ppt” Draft. </w:t>
      </w:r>
    </w:p>
    <w:p w14:paraId="2B403D6D" w14:textId="3F985557" w:rsidR="006C199C" w:rsidRDefault="006C199C" w:rsidP="00712277">
      <w:r>
        <w:t xml:space="preserve"> </w:t>
      </w:r>
    </w:p>
    <w:p w14:paraId="3FDC522A" w14:textId="3DBE6719" w:rsidR="000F748B" w:rsidRPr="000F748B" w:rsidRDefault="000F748B" w:rsidP="000F748B">
      <w:pPr>
        <w:rPr>
          <w:rFonts w:ascii="Cambria" w:hAnsi="Cambria"/>
        </w:rPr>
      </w:pPr>
      <w:r>
        <w:t xml:space="preserve">In addition, the spreadsheet </w:t>
      </w:r>
      <w:r w:rsidRPr="000F748B">
        <w:rPr>
          <w:rFonts w:ascii="Cambria" w:hAnsi="Cambria"/>
        </w:rPr>
        <w:t xml:space="preserve">“Maize Kenya price series </w:t>
      </w:r>
      <w:proofErr w:type="spellStart"/>
      <w:r w:rsidRPr="000F748B">
        <w:rPr>
          <w:rFonts w:ascii="Cambria" w:hAnsi="Cambria"/>
        </w:rPr>
        <w:t>detrend</w:t>
      </w:r>
      <w:proofErr w:type="spellEnd"/>
      <w:r w:rsidRPr="000F748B">
        <w:rPr>
          <w:rFonts w:ascii="Cambria" w:hAnsi="Cambria"/>
        </w:rPr>
        <w:t xml:space="preserve"> and deseasonalize.xls”</w:t>
      </w:r>
      <w:r>
        <w:rPr>
          <w:rFonts w:ascii="Cambria" w:hAnsi="Cambria"/>
        </w:rPr>
        <w:t xml:space="preserve"> works through an example of </w:t>
      </w:r>
      <w:r w:rsidR="009C3378">
        <w:rPr>
          <w:rFonts w:ascii="Cambria" w:hAnsi="Cambria"/>
        </w:rPr>
        <w:t xml:space="preserve">how to deflate, </w:t>
      </w:r>
      <w:proofErr w:type="spellStart"/>
      <w:r w:rsidR="009C3378">
        <w:rPr>
          <w:rFonts w:ascii="Cambria" w:hAnsi="Cambria"/>
        </w:rPr>
        <w:t>deseaonalize</w:t>
      </w:r>
      <w:proofErr w:type="spellEnd"/>
      <w:r w:rsidR="009C3378">
        <w:rPr>
          <w:rFonts w:ascii="Cambria" w:hAnsi="Cambria"/>
        </w:rPr>
        <w:t xml:space="preserve">, and then correlate </w:t>
      </w:r>
      <w:r>
        <w:rPr>
          <w:rFonts w:ascii="Cambria" w:hAnsi="Cambria"/>
        </w:rPr>
        <w:t xml:space="preserve">historical maize price series </w:t>
      </w:r>
      <w:r w:rsidR="009C3378">
        <w:rPr>
          <w:rFonts w:ascii="Cambria" w:hAnsi="Cambria"/>
        </w:rPr>
        <w:t>across several markets</w:t>
      </w:r>
      <w:r w:rsidR="00566840">
        <w:rPr>
          <w:rFonts w:ascii="Cambria" w:hAnsi="Cambria"/>
        </w:rPr>
        <w:t xml:space="preserve"> in Kenya</w:t>
      </w:r>
      <w:r w:rsidR="009C3378">
        <w:rPr>
          <w:rFonts w:ascii="Cambria" w:hAnsi="Cambria"/>
        </w:rPr>
        <w:t>.</w:t>
      </w:r>
    </w:p>
    <w:p w14:paraId="443DCFF4" w14:textId="04730166" w:rsidR="000F748B" w:rsidRDefault="000F748B" w:rsidP="00712277"/>
    <w:p w14:paraId="5A8136F1" w14:textId="77777777" w:rsidR="006C199C" w:rsidRDefault="006C199C" w:rsidP="00712277"/>
    <w:p w14:paraId="60FDE090" w14:textId="6A299F11" w:rsidR="0063046F" w:rsidRPr="00631174" w:rsidRDefault="0063046F" w:rsidP="0063046F">
      <w:pPr>
        <w:rPr>
          <w:i/>
          <w:u w:val="single"/>
        </w:rPr>
      </w:pPr>
      <w:r w:rsidRPr="00242E05">
        <w:rPr>
          <w:i/>
          <w:u w:val="single"/>
        </w:rPr>
        <w:t xml:space="preserve">How does analyzing </w:t>
      </w:r>
      <w:r w:rsidR="00ED63B0">
        <w:rPr>
          <w:i/>
          <w:u w:val="single"/>
        </w:rPr>
        <w:t>market integration</w:t>
      </w:r>
      <w:r w:rsidRPr="00242E05">
        <w:rPr>
          <w:i/>
          <w:u w:val="single"/>
        </w:rPr>
        <w:t xml:space="preserve"> assist in answering the relevant MIFIRA sub-question?</w:t>
      </w:r>
    </w:p>
    <w:p w14:paraId="305FA9B2" w14:textId="77777777" w:rsidR="0063046F" w:rsidRDefault="0063046F" w:rsidP="00712277"/>
    <w:p w14:paraId="457AE6EC" w14:textId="77777777" w:rsidR="00712277" w:rsidRPr="00ED63B0" w:rsidRDefault="00712277" w:rsidP="00712277">
      <w:pPr>
        <w:tabs>
          <w:tab w:val="left" w:pos="360"/>
          <w:tab w:val="left" w:pos="720"/>
        </w:tabs>
        <w:rPr>
          <w:i/>
        </w:rPr>
      </w:pPr>
      <w:r w:rsidRPr="00ED63B0">
        <w:rPr>
          <w:i/>
        </w:rPr>
        <w:t>1c. How much additional food will traders supply at or near current costs?</w:t>
      </w:r>
    </w:p>
    <w:p w14:paraId="16F9C8B0" w14:textId="1F8384E3" w:rsidR="00712277" w:rsidRDefault="00712277" w:rsidP="00712277">
      <w:r>
        <w:t>Spatial and temporal price analysis tools, such as those typically used in market integration studies, can shed considerable light on the likelihood that traders can readily access food in other, larger markets without driving up local food prices significantly.</w:t>
      </w:r>
    </w:p>
    <w:p w14:paraId="0794B4C0" w14:textId="77777777" w:rsidR="00712277" w:rsidRPr="00ED63B0" w:rsidRDefault="00712277" w:rsidP="00712277">
      <w:pPr>
        <w:rPr>
          <w:i/>
        </w:rPr>
      </w:pPr>
    </w:p>
    <w:p w14:paraId="6EE6CEB0" w14:textId="77777777" w:rsidR="00712277" w:rsidRPr="00ED63B0" w:rsidRDefault="00712277" w:rsidP="00712277">
      <w:pPr>
        <w:tabs>
          <w:tab w:val="left" w:pos="720"/>
        </w:tabs>
        <w:rPr>
          <w:i/>
        </w:rPr>
      </w:pPr>
      <w:r w:rsidRPr="00ED63B0">
        <w:rPr>
          <w:i/>
        </w:rPr>
        <w:t>2a. Where are viable prospective source markets?</w:t>
      </w:r>
    </w:p>
    <w:p w14:paraId="279424D5" w14:textId="77777777" w:rsidR="00712277" w:rsidRPr="00AB31B3" w:rsidRDefault="00712277" w:rsidP="00712277">
      <w:r w:rsidRPr="00AB31B3">
        <w:t xml:space="preserve">Markets with which the target recipient market is already well linked are typically not good candidates for local or regional procurement that aims to supplement food availability in the recipient market. </w:t>
      </w:r>
    </w:p>
    <w:p w14:paraId="7955D29F" w14:textId="77777777" w:rsidR="00712277" w:rsidRDefault="00712277" w:rsidP="00712277">
      <w:pPr>
        <w:rPr>
          <w:b/>
        </w:rPr>
      </w:pPr>
    </w:p>
    <w:p w14:paraId="6C7E1665" w14:textId="77777777" w:rsidR="00712277" w:rsidRPr="00AD5C50" w:rsidRDefault="00712277" w:rsidP="00712277">
      <w:pPr>
        <w:rPr>
          <w:i/>
        </w:rPr>
      </w:pPr>
      <w:r w:rsidRPr="00AD5C50">
        <w:rPr>
          <w:i/>
        </w:rPr>
        <w:t xml:space="preserve">2b. Will agency purchases drive up food prices excessively in source markets? </w:t>
      </w:r>
    </w:p>
    <w:p w14:paraId="3C2E0B9D" w14:textId="2582E2F2" w:rsidR="00712277" w:rsidRDefault="00707EC9" w:rsidP="00712277">
      <w:r>
        <w:t>S</w:t>
      </w:r>
      <w:r w:rsidR="00712277" w:rsidRPr="00AB31B3">
        <w:t>patial and temporal price analysis tools, such as those typically used in market integration studies, can shed light on the likelihood that cash or voucher transfers might drive up food prices</w:t>
      </w:r>
      <w:r w:rsidR="00712277">
        <w:t xml:space="preserve"> significantly in recipient markets (see question 1c), </w:t>
      </w:r>
      <w:r>
        <w:t>as well as</w:t>
      </w:r>
      <w:r w:rsidR="00712277">
        <w:t xml:space="preserve"> help us understand likely food price effects in potential source markets by informing our understanding of supply responsiveness.</w:t>
      </w:r>
    </w:p>
    <w:p w14:paraId="4D8067AB" w14:textId="77777777" w:rsidR="00712277" w:rsidRDefault="00712277" w:rsidP="00712277">
      <w:pPr>
        <w:rPr>
          <w:b/>
        </w:rPr>
      </w:pPr>
    </w:p>
    <w:p w14:paraId="5215D899" w14:textId="77777777" w:rsidR="00712277" w:rsidRPr="009E3743" w:rsidRDefault="00712277" w:rsidP="00712277">
      <w:pPr>
        <w:rPr>
          <w:i/>
        </w:rPr>
      </w:pPr>
      <w:r w:rsidRPr="009E3743">
        <w:rPr>
          <w:i/>
        </w:rPr>
        <w:t xml:space="preserve">2c. Will local or regional purchases affect producer prices differently than transoceanic shipments? </w:t>
      </w:r>
    </w:p>
    <w:p w14:paraId="2B233861" w14:textId="77777777" w:rsidR="00712277" w:rsidRDefault="00712277" w:rsidP="00712277">
      <w:r>
        <w:t>S</w:t>
      </w:r>
      <w:r w:rsidRPr="00AB31B3">
        <w:t xml:space="preserve">patial and temporal </w:t>
      </w:r>
      <w:r>
        <w:t>ma</w:t>
      </w:r>
      <w:r w:rsidRPr="00AB31B3">
        <w:t xml:space="preserve">rket integration </w:t>
      </w:r>
      <w:r>
        <w:t xml:space="preserve">analysis helps us to identify whether demand or supply side interventions (LRP or transoceanic shipments, respectively) will have differential price effects in local markets, with possible implications for local growers and processors.  </w:t>
      </w:r>
    </w:p>
    <w:p w14:paraId="0136B011" w14:textId="77777777" w:rsidR="00712277" w:rsidRDefault="00712277" w:rsidP="00943B8F"/>
    <w:p w14:paraId="2A0D32F3" w14:textId="747A6BFF" w:rsidR="00712277" w:rsidRDefault="00B508DA" w:rsidP="00943B8F">
      <w:r>
        <w:t>If w</w:t>
      </w:r>
      <w:r w:rsidR="00126FA7">
        <w:t xml:space="preserve">e seek to understand how </w:t>
      </w:r>
      <w:r w:rsidR="00943B8F">
        <w:t xml:space="preserve">local </w:t>
      </w:r>
      <w:r w:rsidR="00126FA7">
        <w:t xml:space="preserve">supply </w:t>
      </w:r>
      <w:r w:rsidR="00943B8F">
        <w:t xml:space="preserve">might respond to an increase in local demand due, for example, to cash transfers or the provision of food vouchers, or a </w:t>
      </w:r>
      <w:r w:rsidR="00943B8F">
        <w:lastRenderedPageBreak/>
        <w:t>decrease in local demand due to the provision of food aid</w:t>
      </w:r>
      <w:r>
        <w:t xml:space="preserve">, the first question to explore is how well integrated the local market is with external markets, </w:t>
      </w:r>
      <w:r w:rsidR="004C6720">
        <w:t xml:space="preserve">either </w:t>
      </w:r>
      <w:r>
        <w:t>within the country or beyond the target country’s borders</w:t>
      </w:r>
      <w:r w:rsidR="00943B8F">
        <w:t xml:space="preserve">.  If local retailers and wholesalers can readily draw on other markets with which the local market is already well-integrated, this sharply limits the likely price effects of any local demand stimulus caused by food security interventions. Similarly, food distribution mainly displaces net food imports into the market (i.e., increases outflows or decreases inflows) if the local market is well-integrated with other, larger markets.  </w:t>
      </w:r>
    </w:p>
    <w:p w14:paraId="576865A6" w14:textId="77777777" w:rsidR="00712277" w:rsidRDefault="00712277" w:rsidP="00943B8F"/>
    <w:p w14:paraId="5B1080AF" w14:textId="178E03B6" w:rsidR="00943B8F" w:rsidRDefault="00943B8F" w:rsidP="00943B8F">
      <w:r>
        <w:t xml:space="preserve">By contrast, interventions in spatially (or </w:t>
      </w:r>
      <w:proofErr w:type="spellStart"/>
      <w:r>
        <w:t>intertemporally</w:t>
      </w:r>
      <w:proofErr w:type="spellEnd"/>
      <w:r>
        <w:t>) segmented markets tend to have greater price effects in equilibrium. In this lecture we explore these effects and how one measures and tests for market integration.</w:t>
      </w:r>
    </w:p>
    <w:p w14:paraId="2325A6F9" w14:textId="77777777" w:rsidR="00943B8F" w:rsidRDefault="00943B8F" w:rsidP="00943B8F"/>
    <w:p w14:paraId="7683596C" w14:textId="0564EA03" w:rsidR="00712277" w:rsidRDefault="00712277" w:rsidP="00943B8F">
      <w:r>
        <w:t>The basics of these effects are readily understood through a simpl</w:t>
      </w:r>
      <w:r w:rsidR="004C6720">
        <w:t>e</w:t>
      </w:r>
      <w:r>
        <w:t xml:space="preserve"> supply-and-demand graphic like that below. Imagine cash or voucher transfers shift just the local demand curve. Price will almost surely rise because of the limits to purely local aggregate supply response, especially in the short</w:t>
      </w:r>
      <w:r w:rsidR="004C6720">
        <w:t xml:space="preserve"> </w:t>
      </w:r>
      <w:r>
        <w:t>run.  But if the market is well integrated with external markets, the local market face</w:t>
      </w:r>
      <w:r w:rsidR="004C6720">
        <w:t>s a</w:t>
      </w:r>
      <w:r>
        <w:t xml:space="preserve"> far more elastic supply because there are more places from which it can draw </w:t>
      </w:r>
      <w:r w:rsidR="004C6720">
        <w:t xml:space="preserve">a </w:t>
      </w:r>
      <w:r>
        <w:t xml:space="preserve">commodity to meet increased local demand. Similarly, if food is distributed locally, thereby shifting both market demand and supply curves, prices will change far less in </w:t>
      </w:r>
      <w:r w:rsidR="004C6720">
        <w:t xml:space="preserve">a </w:t>
      </w:r>
      <w:r>
        <w:t xml:space="preserve">market that is integrated with external markets than in </w:t>
      </w:r>
      <w:r w:rsidR="004C6720">
        <w:t xml:space="preserve">an </w:t>
      </w:r>
      <w:r>
        <w:t>autarkic/segmented local market.</w:t>
      </w:r>
    </w:p>
    <w:p w14:paraId="280A8291" w14:textId="77777777" w:rsidR="00712277" w:rsidRDefault="00712277" w:rsidP="00943B8F"/>
    <w:p w14:paraId="363FB1BE" w14:textId="4850E18F" w:rsidR="004473F6" w:rsidRPr="00943B8F" w:rsidRDefault="002714BC" w:rsidP="00943B8F">
      <w:r>
        <w:rPr>
          <w:noProof/>
        </w:rPr>
        <mc:AlternateContent>
          <mc:Choice Requires="wpg">
            <w:drawing>
              <wp:anchor distT="0" distB="0" distL="114300" distR="114300" simplePos="0" relativeHeight="251664384" behindDoc="0" locked="0" layoutInCell="1" allowOverlap="0" wp14:anchorId="1F7902D3" wp14:editId="006E1B6B">
                <wp:simplePos x="0" y="0"/>
                <wp:positionH relativeFrom="column">
                  <wp:align>center</wp:align>
                </wp:positionH>
                <wp:positionV relativeFrom="paragraph">
                  <wp:align>top</wp:align>
                </wp:positionV>
                <wp:extent cx="4248150" cy="2668270"/>
                <wp:effectExtent l="0" t="0" r="6350" b="0"/>
                <wp:wrapTopAndBottom/>
                <wp:docPr id="24" name="Group 3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248150" cy="2668270"/>
                          <a:chOff x="3375" y="1325"/>
                          <a:chExt cx="5575" cy="3502"/>
                        </a:xfrm>
                      </wpg:grpSpPr>
                      <wps:wsp>
                        <wps:cNvPr id="25" name="AutoShape 34"/>
                        <wps:cNvSpPr>
                          <a:spLocks noChangeAspect="1" noChangeArrowheads="1" noTextEdit="1"/>
                        </wps:cNvSpPr>
                        <wps:spPr bwMode="auto">
                          <a:xfrm>
                            <a:off x="3375" y="1325"/>
                            <a:ext cx="5575" cy="3502"/>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AutoShape 35"/>
                        <wps:cNvCnPr>
                          <a:cxnSpLocks noChangeShapeType="1"/>
                        </wps:cNvCnPr>
                        <wps:spPr bwMode="auto">
                          <a:xfrm>
                            <a:off x="4042" y="1480"/>
                            <a:ext cx="8" cy="291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36"/>
                        <wps:cNvCnPr>
                          <a:cxnSpLocks noChangeShapeType="1"/>
                        </wps:cNvCnPr>
                        <wps:spPr bwMode="auto">
                          <a:xfrm>
                            <a:off x="4042" y="4397"/>
                            <a:ext cx="3791"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Text Box 37"/>
                        <wps:cNvSpPr txBox="1">
                          <a:spLocks noChangeArrowheads="1"/>
                        </wps:cNvSpPr>
                        <wps:spPr bwMode="auto">
                          <a:xfrm>
                            <a:off x="3508" y="1688"/>
                            <a:ext cx="534" cy="5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68F026" w14:textId="77777777" w:rsidR="008945D0" w:rsidRDefault="008945D0" w:rsidP="00712277">
                              <w:r w:rsidRPr="00712277">
                                <w:rPr>
                                  <w:sz w:val="22"/>
                                  <w:szCs w:val="22"/>
                                </w:rPr>
                                <w:t>Pri</w:t>
                              </w:r>
                              <w:r>
                                <w:t>ce</w:t>
                              </w:r>
                            </w:p>
                          </w:txbxContent>
                        </wps:txbx>
                        <wps:bodyPr rot="0" vert="horz" wrap="square" lIns="0" tIns="45720" rIns="0" bIns="45720" anchor="ctr" anchorCtr="0" upright="1">
                          <a:noAutofit/>
                        </wps:bodyPr>
                      </wps:wsp>
                      <wps:wsp>
                        <wps:cNvPr id="29" name="Text Box 38"/>
                        <wps:cNvSpPr txBox="1">
                          <a:spLocks noChangeArrowheads="1"/>
                        </wps:cNvSpPr>
                        <wps:spPr bwMode="auto">
                          <a:xfrm>
                            <a:off x="7933" y="4105"/>
                            <a:ext cx="834" cy="5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CBB7A8" w14:textId="77777777" w:rsidR="008945D0" w:rsidRDefault="008945D0" w:rsidP="00712277">
                              <w:r>
                                <w:rPr>
                                  <w:sz w:val="22"/>
                                  <w:szCs w:val="22"/>
                                </w:rPr>
                                <w:t>Quantity</w:t>
                              </w:r>
                            </w:p>
                          </w:txbxContent>
                        </wps:txbx>
                        <wps:bodyPr rot="0" vert="horz" wrap="square" lIns="0" tIns="45720" rIns="0" bIns="45720" anchor="ctr" anchorCtr="0" upright="1">
                          <a:noAutofit/>
                        </wps:bodyPr>
                      </wps:wsp>
                      <wps:wsp>
                        <wps:cNvPr id="30" name="AutoShape 39"/>
                        <wps:cNvCnPr>
                          <a:cxnSpLocks noChangeShapeType="1"/>
                        </wps:cNvCnPr>
                        <wps:spPr bwMode="auto">
                          <a:xfrm>
                            <a:off x="4050" y="1688"/>
                            <a:ext cx="2800" cy="2342"/>
                          </a:xfrm>
                          <a:prstGeom prst="straightConnector1">
                            <a:avLst/>
                          </a:prstGeom>
                          <a:noFill/>
                          <a:ln w="22225">
                            <a:solidFill>
                              <a:srgbClr val="FF0000"/>
                            </a:solidFill>
                            <a:round/>
                            <a:headEnd/>
                            <a:tailEnd/>
                          </a:ln>
                          <a:extLst>
                            <a:ext uri="{909E8E84-426E-40dd-AFC4-6F175D3DCCD1}">
                              <a14:hiddenFill xmlns:a14="http://schemas.microsoft.com/office/drawing/2010/main">
                                <a:noFill/>
                              </a14:hiddenFill>
                            </a:ext>
                          </a:extLst>
                        </wps:spPr>
                        <wps:bodyPr/>
                      </wps:wsp>
                      <wps:wsp>
                        <wps:cNvPr id="31" name="AutoShape 40"/>
                        <wps:cNvCnPr>
                          <a:cxnSpLocks noChangeShapeType="1"/>
                        </wps:cNvCnPr>
                        <wps:spPr bwMode="auto">
                          <a:xfrm flipV="1">
                            <a:off x="4042" y="1805"/>
                            <a:ext cx="2033" cy="2008"/>
                          </a:xfrm>
                          <a:prstGeom prst="straightConnector1">
                            <a:avLst/>
                          </a:prstGeom>
                          <a:noFill/>
                          <a:ln w="22225">
                            <a:solidFill>
                              <a:srgbClr val="007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chemeClr val="accent1">
                                      <a:lumMod val="50000"/>
                                      <a:lumOff val="0"/>
                                      <a:alpha val="50000"/>
                                    </a:schemeClr>
                                  </a:outerShdw>
                                </a:effectLst>
                              </a14:hiddenEffects>
                            </a:ext>
                          </a:extLst>
                        </wps:spPr>
                        <wps:bodyPr/>
                      </wps:wsp>
                      <wps:wsp>
                        <wps:cNvPr id="32" name="AutoShape 42"/>
                        <wps:cNvCnPr>
                          <a:cxnSpLocks noChangeShapeType="1"/>
                        </wps:cNvCnPr>
                        <wps:spPr bwMode="auto">
                          <a:xfrm>
                            <a:off x="4050" y="3130"/>
                            <a:ext cx="2725" cy="1"/>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33" name="Text Box 43"/>
                        <wps:cNvSpPr txBox="1">
                          <a:spLocks noChangeArrowheads="1"/>
                        </wps:cNvSpPr>
                        <wps:spPr bwMode="auto">
                          <a:xfrm>
                            <a:off x="6075" y="1480"/>
                            <a:ext cx="533" cy="5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2FADDD" w14:textId="77777777" w:rsidR="008945D0" w:rsidRDefault="008945D0" w:rsidP="00712277">
                              <w:proofErr w:type="spellStart"/>
                              <w:r>
                                <w:rPr>
                                  <w:sz w:val="22"/>
                                  <w:szCs w:val="22"/>
                                </w:rPr>
                                <w:t>S</w:t>
                              </w:r>
                              <w:r w:rsidRPr="00712277">
                                <w:rPr>
                                  <w:sz w:val="22"/>
                                  <w:szCs w:val="22"/>
                                  <w:vertAlign w:val="superscript"/>
                                </w:rPr>
                                <w:t>local</w:t>
                              </w:r>
                              <w:proofErr w:type="spellEnd"/>
                            </w:p>
                          </w:txbxContent>
                        </wps:txbx>
                        <wps:bodyPr rot="0" vert="horz" wrap="square" lIns="0" tIns="45720" rIns="0" bIns="45720" anchor="ctr" anchorCtr="0" upright="1">
                          <a:noAutofit/>
                        </wps:bodyPr>
                      </wps:wsp>
                      <wps:wsp>
                        <wps:cNvPr id="34" name="Text Box 44"/>
                        <wps:cNvSpPr txBox="1">
                          <a:spLocks noChangeArrowheads="1"/>
                        </wps:cNvSpPr>
                        <wps:spPr bwMode="auto">
                          <a:xfrm>
                            <a:off x="6892" y="2888"/>
                            <a:ext cx="533" cy="5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8CDD11" w14:textId="77777777" w:rsidR="008945D0" w:rsidRDefault="008945D0" w:rsidP="00712277">
                              <w:proofErr w:type="spellStart"/>
                              <w:r>
                                <w:rPr>
                                  <w:sz w:val="22"/>
                                  <w:szCs w:val="22"/>
                                </w:rPr>
                                <w:t>S</w:t>
                              </w:r>
                              <w:r>
                                <w:rPr>
                                  <w:sz w:val="22"/>
                                  <w:szCs w:val="22"/>
                                  <w:vertAlign w:val="superscript"/>
                                </w:rPr>
                                <w:t>external</w:t>
                              </w:r>
                              <w:proofErr w:type="spellEnd"/>
                            </w:p>
                          </w:txbxContent>
                        </wps:txbx>
                        <wps:bodyPr rot="0" vert="horz" wrap="square" lIns="0" tIns="45720" rIns="0" bIns="45720" anchor="ctr" anchorCtr="0" upright="1">
                          <a:noAutofit/>
                        </wps:bodyPr>
                      </wps:wsp>
                      <wps:wsp>
                        <wps:cNvPr id="35" name="Text Box 56"/>
                        <wps:cNvSpPr txBox="1">
                          <a:spLocks noChangeArrowheads="1"/>
                        </wps:cNvSpPr>
                        <wps:spPr bwMode="auto">
                          <a:xfrm>
                            <a:off x="6892" y="3813"/>
                            <a:ext cx="533" cy="5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32B6A1" w14:textId="77777777" w:rsidR="008945D0" w:rsidRDefault="008945D0" w:rsidP="00712277">
                              <w:proofErr w:type="spellStart"/>
                              <w:r>
                                <w:rPr>
                                  <w:sz w:val="22"/>
                                  <w:szCs w:val="22"/>
                                </w:rPr>
                                <w:t>D</w:t>
                              </w:r>
                              <w:r w:rsidRPr="00712277">
                                <w:rPr>
                                  <w:sz w:val="22"/>
                                  <w:szCs w:val="22"/>
                                  <w:vertAlign w:val="superscript"/>
                                </w:rPr>
                                <w:t>local</w:t>
                              </w:r>
                              <w:proofErr w:type="spellEnd"/>
                            </w:p>
                          </w:txbxContent>
                        </wps:txbx>
                        <wps:bodyPr rot="0" vert="horz" wrap="square" lIns="0" tIns="45720" rIns="0" bIns="45720" anchor="ctr" anchorCtr="0" upright="1">
                          <a:noAutofit/>
                        </wps:bodyPr>
                      </wps:wsp>
                      <wps:wsp>
                        <wps:cNvPr id="36" name="Text Box 57"/>
                        <wps:cNvSpPr txBox="1">
                          <a:spLocks noChangeArrowheads="1"/>
                        </wps:cNvSpPr>
                        <wps:spPr bwMode="auto">
                          <a:xfrm>
                            <a:off x="3517" y="2380"/>
                            <a:ext cx="391" cy="5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AEF271" w14:textId="77777777" w:rsidR="008945D0" w:rsidRDefault="008945D0" w:rsidP="00712277">
                              <w:proofErr w:type="spellStart"/>
                              <w:r>
                                <w:rPr>
                                  <w:sz w:val="22"/>
                                  <w:szCs w:val="22"/>
                                </w:rPr>
                                <w:t>P</w:t>
                              </w:r>
                              <w:r>
                                <w:rPr>
                                  <w:sz w:val="22"/>
                                  <w:szCs w:val="22"/>
                                  <w:vertAlign w:val="superscript"/>
                                </w:rPr>
                                <w:t>aut</w:t>
                              </w:r>
                              <w:proofErr w:type="spellEnd"/>
                            </w:p>
                          </w:txbxContent>
                        </wps:txbx>
                        <wps:bodyPr rot="0" vert="horz" wrap="square" lIns="0" tIns="45720" rIns="0" bIns="45720" anchor="ctr" anchorCtr="0" upright="1">
                          <a:noAutofit/>
                        </wps:bodyPr>
                      </wps:wsp>
                      <wps:wsp>
                        <wps:cNvPr id="37" name="Text Box 58"/>
                        <wps:cNvSpPr txBox="1">
                          <a:spLocks noChangeArrowheads="1"/>
                        </wps:cNvSpPr>
                        <wps:spPr bwMode="auto">
                          <a:xfrm>
                            <a:off x="3517" y="2847"/>
                            <a:ext cx="391" cy="5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2F8C95" w14:textId="77777777" w:rsidR="008945D0" w:rsidRDefault="008945D0" w:rsidP="00712277">
                              <w:r>
                                <w:rPr>
                                  <w:sz w:val="22"/>
                                  <w:szCs w:val="22"/>
                                </w:rPr>
                                <w:t>P</w:t>
                              </w:r>
                              <w:r>
                                <w:rPr>
                                  <w:sz w:val="22"/>
                                  <w:szCs w:val="22"/>
                                  <w:vertAlign w:val="superscript"/>
                                </w:rPr>
                                <w:t>int</w:t>
                              </w:r>
                            </w:p>
                          </w:txbxContent>
                        </wps:txbx>
                        <wps:bodyPr rot="0" vert="horz" wrap="square" lIns="0" tIns="45720" rIns="0" bIns="45720" anchor="ctr" anchorCtr="0" upright="1">
                          <a:noAutofit/>
                        </wps:bodyPr>
                      </wps:wsp>
                      <wps:wsp>
                        <wps:cNvPr id="38" name="AutoShape 59"/>
                        <wps:cNvCnPr>
                          <a:cxnSpLocks noChangeShapeType="1"/>
                        </wps:cNvCnPr>
                        <wps:spPr bwMode="auto">
                          <a:xfrm flipH="1">
                            <a:off x="4042" y="2652"/>
                            <a:ext cx="1166" cy="0"/>
                          </a:xfrm>
                          <a:prstGeom prst="straightConnector1">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3" o:spid="_x0000_s1027" style="position:absolute;margin-left:0;margin-top:0;width:334.5pt;height:210.1pt;z-index:251664384;mso-position-horizontal:center;mso-position-vertical:top" coordorigin="3375,1325" coordsize="5575,35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" o:allowoverlap="f">
                <o:lock v:ext="edit" aspectratio="t"/>
                <v:rect id="AutoShape 34" o:spid="_x0000_s1028" style="position:absolute;left:3375;top:1325;width:5575;height:350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F546xAAA&#10;ANsAAAAPAAAAZHJzL2Rvd25yZXYueG1sRI9Ba8JAFITvhf6H5RW8FN1UaCkxGylCMYggjdXzI/tM&#10;QrNvY3ZN4r/vCoLHYWa+YZLlaBrRU+dqywreZhEI4sLqmksFv/vv6ScI55E1NpZJwZUcLNPnpwRj&#10;bQf+oT73pQgQdjEqqLxvYyldUZFBN7MtcfBOtjPog+xKqTscAtw0ch5FH9JgzWGhwpZWFRV/+cUo&#10;GIpdf9xv13L3eswsn7PzKj9slJq8jF8LEJ5G/wjf25lWMH+H25fwA2T6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0ReeOsQAAADbAAAADwAAAAAAAAAAAAAAAACXAgAAZHJzL2Rv&#10;d25yZXYueG1sUEsFBgAAAAAEAAQA9QAAAIgDAAAAAA==&#10;" filled="f" stroked="f">
                  <o:lock v:ext="edit" aspectratio="t" text="t"/>
                </v:rect>
                <v:shapetype id="_x0000_t32" coordsize="21600,21600" o:spt="32" o:oned="t" path="m0,0l21600,21600e" filled="f">
                  <v:path arrowok="t" fillok="f" o:connecttype="none"/>
                  <o:lock v:ext="edit" shapetype="t"/>
                </v:shapetype>
                <v:shape id="AutoShape 35" o:spid="_x0000_s1029" type="#_x0000_t32" style="position:absolute;left:4042;top:1480;width:8;height:2917;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cB978QAAADbAAAADwAAAGRycy9kb3ducmV2LnhtbESPT2sCMRTE74LfITzBi9SsQkW2RlkL&#10;ghY8+O/+unndBDcv203U7bdvCgWPw8z8hlmsOleLO7XBelYwGWcgiEuvLVcKzqfNyxxEiMgaa8+k&#10;4IcCrJb93gJz7R98oPsxViJBOOSowMTY5FKG0pDDMPYNcfK+fOswJtlWUrf4SHBXy2mWzaRDy2nB&#10;YEPvhsrr8eYU7HeTdfFp7O7j8G33r5uivlWji1LDQVe8gYjUxWf4v73VCqYz+PuSfoBc/g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FwH3vxAAAANsAAAAPAAAAAAAAAAAA&#10;AAAAAKECAABkcnMvZG93bnJldi54bWxQSwUGAAAAAAQABAD5AAAAkgMAAAAA&#10;"/>
                <v:shape id="AutoShape 36" o:spid="_x0000_s1030" type="#_x0000_t32" style="position:absolute;left:4042;top:4397;width:3791;height: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ozYdMQAAADbAAAADwAAAGRycy9kb3ducmV2LnhtbESPQWsCMRSE74L/ITzBi9SsgrZsjbIV&#10;BC140Lb3181zE9y8bDdRt/++KQgeh5n5hlmsOleLK7XBelYwGWcgiEuvLVcKPj82Ty8gQkTWWHsm&#10;Bb8UYLXs9xaYa3/jA12PsRIJwiFHBSbGJpcylIYchrFviJN38q3DmGRbSd3iLcFdLadZNpcOLacF&#10;gw2tDZXn48Up2O8mb8W3sbv3w4/dzzZFfalGX0oNB13xCiJSFx/he3urFUyf4f9L+gFy+Q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qjNh0xAAAANsAAAAPAAAAAAAAAAAA&#10;AAAAAKECAABkcnMvZG93bnJldi54bWxQSwUGAAAAAAQABAD5AAAAkgMAAAAA&#10;"/>
                <v:shape id="Text Box 37" o:spid="_x0000_s1031" type="#_x0000_t202" style="position:absolute;left:3508;top:1688;width:534;height:50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FLUwQAA&#10;ANsAAAAPAAAAZHJzL2Rvd25yZXYueG1sRE/Pa8IwFL4P/B/CE7zNVA9OqlFEEQYetlkPHh/Nsy02&#10;L7HJ0m5//XIYePz4fq+3g2lFpM43lhXMphkI4tLqhisFl+L4ugThA7LG1jIp+CEP283oZY25tj1/&#10;UTyHSqQQ9jkqqENwuZS+rMmgn1pHnLib7QyGBLtK6g77FG5aOc+yhTTYcGqo0dG+pvJ+/jYKdn38&#10;vX4eYzy9XR7Zqfg4ONcXSk3Gw24FItAQnuJ/97tWME9j05f0A+Tm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KvhS1MEAAADbAAAADwAAAAAAAAAAAAAAAACXAgAAZHJzL2Rvd25y&#10;ZXYueG1sUEsFBgAAAAAEAAQA9QAAAIUDAAAAAA==&#10;" stroked="f">
                  <v:textbox inset="0,,0">
                    <w:txbxContent>
                      <w:p w14:paraId="2768F026" w14:textId="77777777" w:rsidR="008945D0" w:rsidRDefault="008945D0" w:rsidP="00712277">
                        <w:r w:rsidRPr="00712277">
                          <w:rPr>
                            <w:sz w:val="22"/>
                            <w:szCs w:val="22"/>
                          </w:rPr>
                          <w:t>Pri</w:t>
                        </w:r>
                        <w:r>
                          <w:t>ce</w:t>
                        </w:r>
                      </w:p>
                    </w:txbxContent>
                  </v:textbox>
                </v:shape>
                <v:shape id="Text Box 38" o:spid="_x0000_s1032" type="#_x0000_t202" style="position:absolute;left:7933;top:4105;width:834;height:50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tPdPxQAA&#10;ANsAAAAPAAAAZHJzL2Rvd25yZXYueG1sRI9BawIxFITvBf9DeIK3mtWDbbdGEUUQPNS6Hnp8bF53&#10;l25e4iZmt/31plDocZiZb5jlejCtiNT5xrKC2TQDQVxa3XCl4FLsH59B+ICssbVMCr7Jw3o1elhi&#10;rm3P7xTPoRIJwj5HBXUILpfSlzUZ9FPriJP3aTuDIcmukrrDPsFNK+dZtpAGG04LNTra1lR+nW9G&#10;waaPPx+nfYzHp8s1OxZvO+f6QqnJeNi8ggg0hP/wX/ugFcxf4PdL+gFydQ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W090/FAAAA2wAAAA8AAAAAAAAAAAAAAAAAlwIAAGRycy9k&#10;b3ducmV2LnhtbFBLBQYAAAAABAAEAPUAAACJAwAAAAA=&#10;" stroked="f">
                  <v:textbox inset="0,,0">
                    <w:txbxContent>
                      <w:p w14:paraId="26CBB7A8" w14:textId="77777777" w:rsidR="008945D0" w:rsidRDefault="008945D0" w:rsidP="00712277">
                        <w:r>
                          <w:rPr>
                            <w:sz w:val="22"/>
                            <w:szCs w:val="22"/>
                          </w:rPr>
                          <w:t>Quantity</w:t>
                        </w:r>
                      </w:p>
                    </w:txbxContent>
                  </v:textbox>
                </v:shape>
                <v:shape id="AutoShape 39" o:spid="_x0000_s1033" type="#_x0000_t32" style="position:absolute;left:4050;top:1688;width:2800;height:2342;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" strokecolor="red" strokeweight="1.75pt"/>
                <v:shape id="AutoShape 40" o:spid="_x0000_s1034" type="#_x0000_t32" style="position:absolute;left:4042;top:1805;width:2033;height:2008;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xTPqMQAAADbAAAADwAAAGRycy9kb3ducmV2LnhtbESPQWsCMRSE70L/Q3gFb5p1BSlbo4gg&#10;2EtRW+r1sXluttm8LJuoq7/eCIUeh5n5hpkve9eIC3Wh9qxgMs5AEJde11wp+P7ajN5AhIissfFM&#10;Cm4UYLl4Gcyx0P7Ke7ocYiUShEOBCkyMbSFlKA05DGPfEifv5DuHMcmukrrDa4K7RuZZNpMOa04L&#10;BltaGyrt4ewUVPv8ePw4m5/fT9uebvedvdvcKjV87VfvICL18T/8195qBdMJPL+kHyAX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TFM+oxAAAANsAAAAPAAAAAAAAAAAA&#10;AAAAAKECAABkcnMvZG93bnJldi54bWxQSwUGAAAAAAQABAD5AAAAkgMAAAAA&#10;" strokecolor="#0070c0" strokeweight="1.75pt">
                  <v:shadow color="#243f60 [1604]" opacity=".5" offset="1pt"/>
                </v:shape>
                <v:shape id="AutoShape 42" o:spid="_x0000_s1035" type="#_x0000_t32" style="position:absolute;left:4050;top:3130;width:2725;height: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iAwrMQAAADbAAAADwAAAGRycy9kb3ducmV2LnhtbESPzW7CMBCE70h9B2uRegMHKD8KGISq&#10;toJbC1y4reIliYjXqW1C8vZ1JSSOo5n5RrPatKYSDTlfWlYwGiYgiDOrS84VnI6fgwUIH5A1VpZJ&#10;QUceNuuX3gpTbe/8Q80h5CJC2KeooAihTqX0WUEG/dDWxNG7WGcwROlyqR3eI9xUcpwkM2mw5LhQ&#10;YE3vBWXXw80o+Njf2vnkt/vayp2u3ppu+u1mZ6Ve++12CSJQG57hR3unFUzG8P8l/gC5/g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CIDCsxAAAANsAAAAPAAAAAAAAAAAA&#10;AAAAAKECAABkcnMvZG93bnJldi54bWxQSwUGAAAAAAQABAD5AAAAkgMAAAAA&#10;" strokeweight="1.75pt"/>
                <v:shape id="Text Box 43" o:spid="_x0000_s1036" type="#_x0000_t202" style="position:absolute;left:6075;top:1480;width:533;height:50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hVZ4xQAA&#10;ANsAAAAPAAAAZHJzL2Rvd25yZXYueG1sRI9BawIxFITvBf9DeIK3mrVCW7ZGEUUQPNS6Hnp8bF53&#10;l25e4ibNbvvrjSD0OMzMN8xiNZhWROp8Y1nBbJqBIC6tbrhScC52j68gfEDW2FomBb/kYbUcPSww&#10;17bnD4qnUIkEYZ+jgjoEl0vpy5oM+ql1xMn7sp3BkGRXSd1hn+CmlU9Z9iwNNpwWanS0qan8Pv0Y&#10;Bes+/n0edzEeXs6X7FC8b53rC6Um42H9BiLQEP7D9/ZeK5jP4fYl/QC5vA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GFVnjFAAAA2wAAAA8AAAAAAAAAAAAAAAAAlwIAAGRycy9k&#10;b3ducmV2LnhtbFBLBQYAAAAABAAEAPUAAACJAwAAAAA=&#10;" stroked="f">
                  <v:textbox inset="0,,0">
                    <w:txbxContent>
                      <w:p w14:paraId="002FADDD" w14:textId="77777777" w:rsidR="008945D0" w:rsidRDefault="008945D0" w:rsidP="00712277">
                        <w:proofErr w:type="spellStart"/>
                        <w:r>
                          <w:rPr>
                            <w:sz w:val="22"/>
                            <w:szCs w:val="22"/>
                          </w:rPr>
                          <w:t>S</w:t>
                        </w:r>
                        <w:r w:rsidRPr="00712277">
                          <w:rPr>
                            <w:sz w:val="22"/>
                            <w:szCs w:val="22"/>
                            <w:vertAlign w:val="superscript"/>
                          </w:rPr>
                          <w:t>local</w:t>
                        </w:r>
                        <w:proofErr w:type="spellEnd"/>
                      </w:p>
                    </w:txbxContent>
                  </v:textbox>
                </v:shape>
                <v:shape id="Text Box 44" o:spid="_x0000_s1037" type="#_x0000_t202" style="position:absolute;left:6892;top:2888;width:533;height:50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bM4MxgAA&#10;ANsAAAAPAAAAZHJzL2Rvd25yZXYueG1sRI9BawIxFITvBf9DeEJvNWuVWrZGEYtQ8NDqeujxsXnd&#10;Xdy8xE3Mrv31TaHQ4zAz3zDL9WBaEanzjWUF00kGgri0uuFKwanYPTyD8AFZY2uZFNzIw3o1ulti&#10;rm3PB4rHUIkEYZ+jgjoEl0vpy5oM+ol1xMn7sp3BkGRXSd1hn+CmlY9Z9iQNNpwWanS0rak8H69G&#10;waaP358fuxj3i9Ml2xfvr871hVL342HzAiLQEP7Df+03rWA2h98v6QfI1Q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ubM4MxgAAANsAAAAPAAAAAAAAAAAAAAAAAJcCAABkcnMv&#10;ZG93bnJldi54bWxQSwUGAAAAAAQABAD1AAAAigMAAAAA&#10;" stroked="f">
                  <v:textbox inset="0,,0">
                    <w:txbxContent>
                      <w:p w14:paraId="318CDD11" w14:textId="77777777" w:rsidR="008945D0" w:rsidRDefault="008945D0" w:rsidP="00712277">
                        <w:proofErr w:type="spellStart"/>
                        <w:r>
                          <w:rPr>
                            <w:sz w:val="22"/>
                            <w:szCs w:val="22"/>
                          </w:rPr>
                          <w:t>S</w:t>
                        </w:r>
                        <w:r>
                          <w:rPr>
                            <w:sz w:val="22"/>
                            <w:szCs w:val="22"/>
                            <w:vertAlign w:val="superscript"/>
                          </w:rPr>
                          <w:t>external</w:t>
                        </w:r>
                        <w:proofErr w:type="spellEnd"/>
                      </w:p>
                    </w:txbxContent>
                  </v:textbox>
                </v:shape>
                <v:shape id="Text Box 56" o:spid="_x0000_s1038" type="#_x0000_t202" style="position:absolute;left:6892;top:3813;width:533;height:50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IGuXxgAA&#10;ANsAAAAPAAAAZHJzL2Rvd25yZXYueG1sRI9BawIxFITvBf9DeEJvNWvFWrZGEYtQ8NDqeujxsXnd&#10;Xdy8xE3Mrv31TaHQ4zAz3zDL9WBaEanzjWUF00kGgri0uuFKwanYPTyD8AFZY2uZFNzIw3o1ulti&#10;rm3PB4rHUIkEYZ+jgjoEl0vpy5oM+ol1xMn7sp3BkGRXSd1hn+CmlY9Z9iQNNpwWanS0rak8H69G&#10;waaP358fuxj3i9Ml2xfvr871hVL342HzAiLQEP7Df+03rWA2h98v6QfI1Q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BIGuXxgAAANsAAAAPAAAAAAAAAAAAAAAAAJcCAABkcnMv&#10;ZG93bnJldi54bWxQSwUGAAAAAAQABAD1AAAAigMAAAAA&#10;" stroked="f">
                  <v:textbox inset="0,,0">
                    <w:txbxContent>
                      <w:p w14:paraId="0332B6A1" w14:textId="77777777" w:rsidR="008945D0" w:rsidRDefault="008945D0" w:rsidP="00712277">
                        <w:proofErr w:type="spellStart"/>
                        <w:r>
                          <w:rPr>
                            <w:sz w:val="22"/>
                            <w:szCs w:val="22"/>
                          </w:rPr>
                          <w:t>D</w:t>
                        </w:r>
                        <w:r w:rsidRPr="00712277">
                          <w:rPr>
                            <w:sz w:val="22"/>
                            <w:szCs w:val="22"/>
                            <w:vertAlign w:val="superscript"/>
                          </w:rPr>
                          <w:t>local</w:t>
                        </w:r>
                        <w:proofErr w:type="spellEnd"/>
                      </w:p>
                    </w:txbxContent>
                  </v:textbox>
                </v:shape>
                <v:shape id="Text Box 57" o:spid="_x0000_s1039" type="#_x0000_t202" style="position:absolute;left:3517;top:2380;width:391;height:50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8vXgxQAA&#10;ANsAAAAPAAAAZHJzL2Rvd25yZXYueG1sRI9BawIxFITvBf9DeIK3mlXBlq1RxCIIHmxdDz0+Nq+7&#10;Szcv6SZmV399Uyj0OMzMN8xqM5hWROp8Y1nBbJqBIC6tbrhScCn2j88gfEDW2FomBTfysFmPHlaY&#10;a9vzO8VzqESCsM9RQR2Cy6X0ZU0G/dQ64uR92s5gSLKrpO6wT3DTynmWLaXBhtNCjY52NZVf56tR&#10;sO3j/eNtH+Px6fKdHYvTq3N9odRkPGxfQAQawn/4r33QChZL+P2SfoBc/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Hy9eDFAAAA2wAAAA8AAAAAAAAAAAAAAAAAlwIAAGRycy9k&#10;b3ducmV2LnhtbFBLBQYAAAAABAAEAPUAAACJAwAAAAA=&#10;" stroked="f">
                  <v:textbox inset="0,,0">
                    <w:txbxContent>
                      <w:p w14:paraId="2AAEF271" w14:textId="77777777" w:rsidR="008945D0" w:rsidRDefault="008945D0" w:rsidP="00712277">
                        <w:proofErr w:type="spellStart"/>
                        <w:r>
                          <w:rPr>
                            <w:sz w:val="22"/>
                            <w:szCs w:val="22"/>
                          </w:rPr>
                          <w:t>P</w:t>
                        </w:r>
                        <w:r>
                          <w:rPr>
                            <w:sz w:val="22"/>
                            <w:szCs w:val="22"/>
                            <w:vertAlign w:val="superscript"/>
                          </w:rPr>
                          <w:t>aut</w:t>
                        </w:r>
                        <w:proofErr w:type="spellEnd"/>
                      </w:p>
                    </w:txbxContent>
                  </v:textbox>
                </v:shape>
                <v:shape id="Text Box 58" o:spid="_x0000_s1040" type="#_x0000_t202" style="position:absolute;left:3517;top:2847;width:391;height:50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vlB7xQAA&#10;ANsAAAAPAAAAZHJzL2Rvd25yZXYueG1sRI9BawIxFITvgv8hPKE3zdpCla1RRBEKHlpdDz0+Nq+7&#10;SzcvcZNmt/31TUHwOMzMN8xqM5hWROp8Y1nBfJaBIC6tbrhScCkO0yUIH5A1tpZJwQ952KzHoxXm&#10;2vZ8ongOlUgQ9jkqqENwuZS+rMmgn1lHnLxP2xkMSXaV1B32CW5a+Zhlz9Jgw2mhRke7msqv87dR&#10;sO3j78f7Icbj4nLNjsXb3rm+UOphMmxfQAQawj18a79qBU8L+P+SfoBc/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6+UHvFAAAA2wAAAA8AAAAAAAAAAAAAAAAAlwIAAGRycy9k&#10;b3ducmV2LnhtbFBLBQYAAAAABAAEAPUAAACJAwAAAAA=&#10;" stroked="f">
                  <v:textbox inset="0,,0">
                    <w:txbxContent>
                      <w:p w14:paraId="1A2F8C95" w14:textId="77777777" w:rsidR="008945D0" w:rsidRDefault="008945D0" w:rsidP="00712277">
                        <w:r>
                          <w:rPr>
                            <w:sz w:val="22"/>
                            <w:szCs w:val="22"/>
                          </w:rPr>
                          <w:t>P</w:t>
                        </w:r>
                        <w:r>
                          <w:rPr>
                            <w:sz w:val="22"/>
                            <w:szCs w:val="22"/>
                            <w:vertAlign w:val="superscript"/>
                          </w:rPr>
                          <w:t>int</w:t>
                        </w:r>
                      </w:p>
                    </w:txbxContent>
                  </v:textbox>
                </v:shape>
                <v:shape id="AutoShape 59" o:spid="_x0000_s1041" type="#_x0000_t32" style="position:absolute;left:4042;top:2652;width:1166;height: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mT2rr8AAADbAAAADwAAAGRycy9kb3ducmV2LnhtbERPS2vCQBC+F/wPywje6sYHtaSuIkLF&#10;q1YEb0N2mqTuzobsNIn/3j0Uevz43uvt4J3qqI11YAOzaQaKuAi25tLA5evz9R1UFGSLLjAZeFCE&#10;7Wb0ssbchp5P1J2lVCmEY44GKpEm1zoWFXmM09AQJ+47tB4lwbbUtsU+hXun51n2pj3WnBoqbGhf&#10;UXE//3oD7vT4cXKIwmF+WzTd7dovVwdjJuNh9wFKaJB/8Z/7aA0s0tj0Jf0AvXkC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imT2rr8AAADbAAAADwAAAAAAAAAAAAAAAACh&#10;AgAAZHJzL2Rvd25yZXYueG1sUEsFBgAAAAAEAAQA+QAAAI0DAAAAAA==&#10;" strokeweight=".25pt">
                  <v:stroke dashstyle="1 1" endcap="round"/>
                </v:shape>
                <w10:wrap type="topAndBottom"/>
              </v:group>
            </w:pict>
          </mc:Fallback>
        </mc:AlternateContent>
      </w:r>
      <w:r w:rsidR="004473F6" w:rsidRPr="00700B4A">
        <w:rPr>
          <w:szCs w:val="20"/>
        </w:rPr>
        <w:t>Market</w:t>
      </w:r>
      <w:r w:rsidR="00712277">
        <w:rPr>
          <w:szCs w:val="20"/>
        </w:rPr>
        <w:t xml:space="preserve"> integration thereby</w:t>
      </w:r>
      <w:r w:rsidR="004473F6" w:rsidRPr="00700B4A">
        <w:rPr>
          <w:szCs w:val="20"/>
        </w:rPr>
        <w:t xml:space="preserve"> play</w:t>
      </w:r>
      <w:r w:rsidR="00712277">
        <w:rPr>
          <w:szCs w:val="20"/>
        </w:rPr>
        <w:t>s</w:t>
      </w:r>
      <w:r w:rsidR="004473F6" w:rsidRPr="00700B4A">
        <w:rPr>
          <w:szCs w:val="20"/>
        </w:rPr>
        <w:t xml:space="preserve"> a fundamental role in managing risk associated with demand and supply shocks</w:t>
      </w:r>
      <w:r w:rsidR="00712277">
        <w:rPr>
          <w:szCs w:val="20"/>
        </w:rPr>
        <w:t>,</w:t>
      </w:r>
      <w:r w:rsidR="00943B8F">
        <w:rPr>
          <w:szCs w:val="20"/>
        </w:rPr>
        <w:t xml:space="preserve"> including those due to unanticipated food security interventions</w:t>
      </w:r>
      <w:r w:rsidR="00712277">
        <w:rPr>
          <w:szCs w:val="20"/>
        </w:rPr>
        <w:t>. W</w:t>
      </w:r>
      <w:r w:rsidR="004473F6" w:rsidRPr="00700B4A">
        <w:rPr>
          <w:szCs w:val="20"/>
        </w:rPr>
        <w:t>ell-integrated mar</w:t>
      </w:r>
      <w:r w:rsidR="00943B8F">
        <w:rPr>
          <w:szCs w:val="20"/>
        </w:rPr>
        <w:t>kets facilitate adjustment in commodity</w:t>
      </w:r>
      <w:r w:rsidR="004473F6" w:rsidRPr="00700B4A">
        <w:rPr>
          <w:szCs w:val="20"/>
        </w:rPr>
        <w:t xml:space="preserve"> </w:t>
      </w:r>
      <w:r w:rsidR="00943B8F">
        <w:rPr>
          <w:szCs w:val="20"/>
        </w:rPr>
        <w:t>trade</w:t>
      </w:r>
      <w:r w:rsidR="004473F6" w:rsidRPr="00700B4A">
        <w:rPr>
          <w:szCs w:val="20"/>
        </w:rPr>
        <w:t xml:space="preserve"> across space and in storage over time, thereby reducing price variability faced by consumers and producers. </w:t>
      </w:r>
      <w:r w:rsidR="00943B8F">
        <w:rPr>
          <w:szCs w:val="20"/>
        </w:rPr>
        <w:t>In many</w:t>
      </w:r>
      <w:r w:rsidR="004473F6" w:rsidRPr="00700B4A">
        <w:rPr>
          <w:szCs w:val="20"/>
        </w:rPr>
        <w:t xml:space="preserve"> low-income areas, however, poor communications and transport infrastructure, limited rule of law, and restricted access to commercial finance sharply limit the degree to which markets function as </w:t>
      </w:r>
      <w:r w:rsidR="004473F6" w:rsidRPr="00700B4A">
        <w:rPr>
          <w:szCs w:val="20"/>
        </w:rPr>
        <w:lastRenderedPageBreak/>
        <w:t xml:space="preserve">effectively as textbook models typically assume. A longstanding literature documents both the institutional constraints to market development (see, for example, </w:t>
      </w:r>
      <w:r w:rsidR="00943B8F">
        <w:rPr>
          <w:szCs w:val="20"/>
        </w:rPr>
        <w:t xml:space="preserve">related books by Jean-Philippe </w:t>
      </w:r>
      <w:proofErr w:type="spellStart"/>
      <w:r w:rsidR="00943B8F">
        <w:rPr>
          <w:szCs w:val="20"/>
        </w:rPr>
        <w:t>Platteau</w:t>
      </w:r>
      <w:proofErr w:type="spellEnd"/>
      <w:r w:rsidR="00943B8F">
        <w:rPr>
          <w:szCs w:val="20"/>
        </w:rPr>
        <w:t xml:space="preserve"> 2000 and Marcel</w:t>
      </w:r>
      <w:r w:rsidR="004473F6" w:rsidRPr="00700B4A">
        <w:rPr>
          <w:szCs w:val="20"/>
        </w:rPr>
        <w:t xml:space="preserve"> </w:t>
      </w:r>
      <w:proofErr w:type="spellStart"/>
      <w:r w:rsidR="004473F6" w:rsidRPr="00700B4A">
        <w:rPr>
          <w:szCs w:val="20"/>
        </w:rPr>
        <w:t>Fafchamps</w:t>
      </w:r>
      <w:proofErr w:type="spellEnd"/>
      <w:r w:rsidR="004473F6" w:rsidRPr="00700B4A">
        <w:rPr>
          <w:szCs w:val="20"/>
        </w:rPr>
        <w:t xml:space="preserve"> 2004) and the considerable commodity price variability across space and seasons in developing countries, with various empirical tests of market integration suggesting significant and puzzling foregone arbitrage opportunities (</w:t>
      </w:r>
      <w:r w:rsidR="00943B8F">
        <w:rPr>
          <w:szCs w:val="20"/>
        </w:rPr>
        <w:t xml:space="preserve">see the survey paper by </w:t>
      </w:r>
      <w:proofErr w:type="spellStart"/>
      <w:r w:rsidR="004473F6" w:rsidRPr="00700B4A">
        <w:rPr>
          <w:szCs w:val="20"/>
        </w:rPr>
        <w:t>Fackler</w:t>
      </w:r>
      <w:proofErr w:type="spellEnd"/>
      <w:r w:rsidR="004473F6" w:rsidRPr="00700B4A">
        <w:rPr>
          <w:szCs w:val="20"/>
        </w:rPr>
        <w:t xml:space="preserve"> and Goodwin 2001).</w:t>
      </w:r>
    </w:p>
    <w:p w14:paraId="506D6802" w14:textId="77777777" w:rsidR="008E3895" w:rsidRDefault="008E3895" w:rsidP="008E3895"/>
    <w:p w14:paraId="33171651" w14:textId="77777777" w:rsidR="004473F6" w:rsidRPr="00350E1D" w:rsidRDefault="008821E2" w:rsidP="008E3895">
      <w:pPr>
        <w:rPr>
          <w:i/>
          <w:u w:val="single"/>
        </w:rPr>
      </w:pPr>
      <w:r w:rsidRPr="00350E1D">
        <w:rPr>
          <w:i/>
          <w:u w:val="single"/>
        </w:rPr>
        <w:t xml:space="preserve">The </w:t>
      </w:r>
      <w:r w:rsidR="004473F6" w:rsidRPr="00350E1D">
        <w:rPr>
          <w:i/>
          <w:u w:val="single"/>
        </w:rPr>
        <w:t>Theory</w:t>
      </w:r>
      <w:r w:rsidRPr="00350E1D">
        <w:rPr>
          <w:i/>
          <w:u w:val="single"/>
        </w:rPr>
        <w:t xml:space="preserve"> of Market Integration</w:t>
      </w:r>
    </w:p>
    <w:p w14:paraId="17BFF6C6" w14:textId="68C39C43" w:rsidR="008821E2" w:rsidRPr="00C77783" w:rsidRDefault="008821E2" w:rsidP="008821E2">
      <w:r>
        <w:t xml:space="preserve">Ultimately, we want to establish whether commercial market intermediaries are likely to respond to a demand or supply shock by adjusting flow volumes and the extent to which prices will change as a </w:t>
      </w:r>
      <w:r w:rsidRPr="00C77783">
        <w:t xml:space="preserve">result. </w:t>
      </w:r>
      <w:r w:rsidR="00C6717C">
        <w:t>There are</w:t>
      </w:r>
      <w:r w:rsidRPr="00C77783">
        <w:t xml:space="preserve"> two distinct concepts of “market integration” in the literature.</w:t>
      </w:r>
    </w:p>
    <w:p w14:paraId="3A6AB923" w14:textId="77777777" w:rsidR="008821E2" w:rsidRPr="00C77783" w:rsidRDefault="008821E2" w:rsidP="008821E2"/>
    <w:p w14:paraId="2B4D37D4" w14:textId="77777777" w:rsidR="008821E2" w:rsidRPr="00C77783" w:rsidRDefault="008821E2" w:rsidP="008821E2">
      <w:pPr>
        <w:pStyle w:val="ListParagraph"/>
        <w:numPr>
          <w:ilvl w:val="0"/>
          <w:numId w:val="7"/>
        </w:numPr>
        <w:autoSpaceDE w:val="0"/>
        <w:autoSpaceDN w:val="0"/>
        <w:adjustRightInd w:val="0"/>
      </w:pPr>
      <w:r w:rsidRPr="00C77783">
        <w:rPr>
          <w:rFonts w:cs="TimesNewRomanPSMT"/>
        </w:rPr>
        <w:t xml:space="preserve">One conceptualization focuses on ‘tradability’, the notion that a good is traded between two markets or that market intermediaries are indifferent between exporting from one place to another and not doing so. Tradability signals the transfer of excess demand from one market to another, as captured in actual or potential physical flows. Positive trade flows are sufficient to demonstrate spatial market integration under the tradability standard. Note, however, that the tradability view of market integration does not require that prices </w:t>
      </w:r>
      <w:proofErr w:type="spellStart"/>
      <w:r w:rsidRPr="00C77783">
        <w:rPr>
          <w:rFonts w:cs="TimesNewRomanPSMT"/>
        </w:rPr>
        <w:t>comove</w:t>
      </w:r>
      <w:proofErr w:type="spellEnd"/>
      <w:r w:rsidRPr="00C77783">
        <w:rPr>
          <w:rFonts w:cs="TimesNewRomanPSMT"/>
        </w:rPr>
        <w:t xml:space="preserve"> across markets. </w:t>
      </w:r>
    </w:p>
    <w:p w14:paraId="4C6377C3" w14:textId="77777777" w:rsidR="00C77783" w:rsidRPr="00C77783" w:rsidRDefault="00C77783" w:rsidP="00C77783">
      <w:pPr>
        <w:pStyle w:val="ListParagraph"/>
        <w:autoSpaceDE w:val="0"/>
        <w:autoSpaceDN w:val="0"/>
        <w:adjustRightInd w:val="0"/>
        <w:ind w:left="360"/>
      </w:pPr>
    </w:p>
    <w:p w14:paraId="1EF65313" w14:textId="661FB5B9" w:rsidR="00C77783" w:rsidRPr="00C77783" w:rsidRDefault="008821E2" w:rsidP="008821E2">
      <w:pPr>
        <w:pStyle w:val="ListParagraph"/>
        <w:numPr>
          <w:ilvl w:val="0"/>
          <w:numId w:val="7"/>
        </w:numPr>
        <w:autoSpaceDE w:val="0"/>
        <w:autoSpaceDN w:val="0"/>
        <w:adjustRightInd w:val="0"/>
      </w:pPr>
      <w:r w:rsidRPr="00C77783">
        <w:t xml:space="preserve">An alternative – and in the food security literature, more common – conceptualization </w:t>
      </w:r>
      <w:r w:rsidRPr="00C77783">
        <w:rPr>
          <w:rFonts w:cs="TimesNewRomanPSMT"/>
        </w:rPr>
        <w:t xml:space="preserve">focuses instead on price </w:t>
      </w:r>
      <w:proofErr w:type="spellStart"/>
      <w:r w:rsidRPr="00C77783">
        <w:rPr>
          <w:rFonts w:cs="TimesNewRomanPSMT"/>
        </w:rPr>
        <w:t>comovement</w:t>
      </w:r>
      <w:proofErr w:type="spellEnd"/>
      <w:r w:rsidRPr="00C77783">
        <w:rPr>
          <w:rFonts w:cs="TimesNewRomanPSMT"/>
        </w:rPr>
        <w:t xml:space="preserve"> and tends to ignore physical commodity flow patterns. The core idea here is one of </w:t>
      </w:r>
      <w:r w:rsidR="00B508DA">
        <w:rPr>
          <w:rFonts w:cs="TimesNewRomanPSMT"/>
        </w:rPr>
        <w:t>‘</w:t>
      </w:r>
      <w:r w:rsidRPr="00C77783">
        <w:rPr>
          <w:rFonts w:cs="TimesNewRomanPSMT"/>
        </w:rPr>
        <w:t>competitive spatial equilibrium</w:t>
      </w:r>
      <w:r w:rsidR="00B508DA">
        <w:rPr>
          <w:rFonts w:cs="TimesNewRomanPSMT"/>
        </w:rPr>
        <w:t>’</w:t>
      </w:r>
      <w:r w:rsidRPr="00C77783">
        <w:rPr>
          <w:rFonts w:cs="TimesNewRomanPSMT"/>
        </w:rPr>
        <w:t xml:space="preserve"> reflected in zero marginal profits to arbitrage (i.e., buying low in one market in order to sell high in another). </w:t>
      </w:r>
      <w:r w:rsidR="00C77783">
        <w:rPr>
          <w:rFonts w:cs="TimesNewRomanPSMT"/>
        </w:rPr>
        <w:t>In</w:t>
      </w:r>
      <w:r w:rsidRPr="00C77783">
        <w:rPr>
          <w:rFonts w:cs="TimesNewRomanPSMT"/>
        </w:rPr>
        <w:t xml:space="preserve"> spatial equilibrium the dispersion of prices in two locations for an otherwise identical good is bounded from above by the cost of arbitrage between the markets when trade volumes are unrestricted and bounded from below when trade volumes reach some ceiling value (for example, associated with a trade quota). This gives rise to a “price band” that relates a central market price (P</w:t>
      </w:r>
      <w:r w:rsidRPr="00C77783">
        <w:rPr>
          <w:rFonts w:cs="TimesNewRomanPSMT"/>
          <w:vertAlign w:val="superscript"/>
        </w:rPr>
        <w:t>c</w:t>
      </w:r>
      <w:r w:rsidRPr="00C77783">
        <w:rPr>
          <w:rFonts w:cs="TimesNewRomanPSMT"/>
        </w:rPr>
        <w:t xml:space="preserve">, which could be the global market price – we will talk about import parity prices next lecture), to the local market price. </w:t>
      </w:r>
      <w:r w:rsidR="00C77783">
        <w:rPr>
          <w:rFonts w:cs="TimesNewRomanPSMT"/>
        </w:rPr>
        <w:br/>
      </w:r>
    </w:p>
    <w:p w14:paraId="6ADDD492" w14:textId="21663F0F" w:rsidR="008821E2" w:rsidRDefault="00C77783" w:rsidP="00C77783">
      <w:pPr>
        <w:pStyle w:val="ListParagraph"/>
        <w:autoSpaceDE w:val="0"/>
        <w:autoSpaceDN w:val="0"/>
        <w:adjustRightInd w:val="0"/>
        <w:ind w:left="360"/>
        <w:rPr>
          <w:rFonts w:cs="TimesNewRomanPSMT"/>
        </w:rPr>
      </w:pPr>
      <w:r>
        <w:rPr>
          <w:rFonts w:cs="TimesNewRomanPSMT"/>
        </w:rPr>
        <w:t xml:space="preserve">The price band is depicted in the attached figure. </w:t>
      </w:r>
      <w:r w:rsidR="008821E2" w:rsidRPr="00C77783">
        <w:rPr>
          <w:rFonts w:cs="TimesNewRomanPSMT"/>
        </w:rPr>
        <w:t>Given fixed and variable costs of trade, spatial equilibrium implies that the local market price will not rise above P</w:t>
      </w:r>
      <w:r w:rsidR="008821E2" w:rsidRPr="00C77783">
        <w:rPr>
          <w:rFonts w:cs="TimesNewRomanPSMT"/>
          <w:vertAlign w:val="superscript"/>
        </w:rPr>
        <w:t>i</w:t>
      </w:r>
      <w:r w:rsidR="008821E2" w:rsidRPr="00C77783">
        <w:rPr>
          <w:rFonts w:cs="TimesNewRomanPSMT"/>
        </w:rPr>
        <w:t>, at which point local traders would import without limit from the central market</w:t>
      </w:r>
      <w:r w:rsidRPr="00C77783">
        <w:rPr>
          <w:rFonts w:cs="TimesNewRomanPSMT"/>
        </w:rPr>
        <w:t xml:space="preserve">, and will not fall below </w:t>
      </w:r>
      <w:proofErr w:type="spellStart"/>
      <w:r w:rsidRPr="00C77783">
        <w:rPr>
          <w:rFonts w:cs="TimesNewRomanPSMT"/>
        </w:rPr>
        <w:t>P</w:t>
      </w:r>
      <w:r w:rsidRPr="00C77783">
        <w:rPr>
          <w:rFonts w:cs="TimesNewRomanPSMT"/>
          <w:vertAlign w:val="superscript"/>
        </w:rPr>
        <w:t>x</w:t>
      </w:r>
      <w:proofErr w:type="spellEnd"/>
      <w:r w:rsidRPr="00C77783">
        <w:rPr>
          <w:rFonts w:cs="TimesNewRomanPSMT"/>
        </w:rPr>
        <w:t>, at which point local traders would export without limit to the central market.</w:t>
      </w:r>
      <w:r>
        <w:rPr>
          <w:rFonts w:cs="TimesNewRomanPSMT"/>
        </w:rPr>
        <w:t xml:space="preserve"> If the market indeed operates competitively and there is trade between markets (or if traders are indifferent between trading or not), then </w:t>
      </w:r>
      <w:r w:rsidRPr="00C77783">
        <w:rPr>
          <w:rFonts w:cs="TimesNewRomanPSMT"/>
        </w:rPr>
        <w:t>P</w:t>
      </w:r>
      <w:r w:rsidRPr="00C77783">
        <w:rPr>
          <w:rFonts w:cs="TimesNewRomanPSMT"/>
          <w:vertAlign w:val="superscript"/>
        </w:rPr>
        <w:t>c</w:t>
      </w:r>
      <w:r>
        <w:rPr>
          <w:rFonts w:cs="TimesNewRomanPSMT"/>
        </w:rPr>
        <w:t xml:space="preserve"> will </w:t>
      </w:r>
      <w:proofErr w:type="spellStart"/>
      <w:r>
        <w:rPr>
          <w:rFonts w:cs="TimesNewRomanPSMT"/>
        </w:rPr>
        <w:t>comove</w:t>
      </w:r>
      <w:proofErr w:type="spellEnd"/>
      <w:r>
        <w:rPr>
          <w:rFonts w:cs="TimesNewRomanPSMT"/>
        </w:rPr>
        <w:t xml:space="preserve"> perfectly with local market prices.  </w:t>
      </w:r>
    </w:p>
    <w:p w14:paraId="5B30C89E" w14:textId="77777777" w:rsidR="00C77783" w:rsidRDefault="002714BC" w:rsidP="00C77783">
      <w:pPr>
        <w:pStyle w:val="ListParagraph"/>
        <w:autoSpaceDE w:val="0"/>
        <w:autoSpaceDN w:val="0"/>
        <w:adjustRightInd w:val="0"/>
        <w:ind w:left="360"/>
        <w:rPr>
          <w:rFonts w:cs="TimesNewRomanPSMT"/>
        </w:rPr>
      </w:pPr>
      <w:r>
        <w:rPr>
          <w:rFonts w:cs="TimesNewRomanPSMT"/>
          <w:noProof/>
        </w:rPr>
        <w:lastRenderedPageBreak/>
        <mc:AlternateContent>
          <mc:Choice Requires="wpg">
            <w:drawing>
              <wp:inline distT="0" distB="0" distL="0" distR="0" wp14:anchorId="1B1E8548" wp14:editId="7CEBD17A">
                <wp:extent cx="5943600" cy="3566160"/>
                <wp:effectExtent l="0" t="0" r="0" b="2540"/>
                <wp:docPr id="1" name="Group 9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943600" cy="3566160"/>
                          <a:chOff x="2527" y="7470"/>
                          <a:chExt cx="7200" cy="4320"/>
                        </a:xfrm>
                      </wpg:grpSpPr>
                      <wps:wsp>
                        <wps:cNvPr id="2" name="AutoShape 99"/>
                        <wps:cNvSpPr>
                          <a:spLocks noChangeAspect="1" noChangeArrowheads="1" noTextEdit="1"/>
                        </wps:cNvSpPr>
                        <wps:spPr bwMode="auto">
                          <a:xfrm>
                            <a:off x="2527" y="7470"/>
                            <a:ext cx="7200" cy="432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AutoShape 100"/>
                        <wps:cNvCnPr>
                          <a:cxnSpLocks noChangeShapeType="1"/>
                        </wps:cNvCnPr>
                        <wps:spPr bwMode="auto">
                          <a:xfrm>
                            <a:off x="3081" y="7865"/>
                            <a:ext cx="0" cy="355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101"/>
                        <wps:cNvCnPr>
                          <a:cxnSpLocks noChangeShapeType="1"/>
                        </wps:cNvCnPr>
                        <wps:spPr bwMode="auto">
                          <a:xfrm>
                            <a:off x="3081" y="11419"/>
                            <a:ext cx="58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AutoShape 102"/>
                        <wps:cNvCnPr>
                          <a:cxnSpLocks noChangeShapeType="1"/>
                        </wps:cNvCnPr>
                        <wps:spPr bwMode="auto">
                          <a:xfrm>
                            <a:off x="3081" y="9573"/>
                            <a:ext cx="5758" cy="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103"/>
                        <wps:cNvCnPr>
                          <a:cxnSpLocks noChangeShapeType="1"/>
                        </wps:cNvCnPr>
                        <wps:spPr bwMode="auto">
                          <a:xfrm>
                            <a:off x="3081" y="9896"/>
                            <a:ext cx="5758" cy="1"/>
                          </a:xfrm>
                          <a:prstGeom prst="straightConnector1">
                            <a:avLst/>
                          </a:prstGeom>
                          <a:noFill/>
                          <a:ln w="2540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rgbClr val="7F7F7F">
                                      <a:alpha val="50000"/>
                                    </a:srgbClr>
                                  </a:outerShdw>
                                </a:effectLst>
                              </a14:hiddenEffects>
                            </a:ext>
                          </a:extLst>
                        </wps:spPr>
                        <wps:bodyPr/>
                      </wps:wsp>
                      <wps:wsp>
                        <wps:cNvPr id="7" name="AutoShape 104"/>
                        <wps:cNvCnPr>
                          <a:cxnSpLocks noChangeShapeType="1"/>
                        </wps:cNvCnPr>
                        <wps:spPr bwMode="auto">
                          <a:xfrm flipV="1">
                            <a:off x="3079" y="10012"/>
                            <a:ext cx="5760" cy="3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105"/>
                        <wps:cNvCnPr>
                          <a:cxnSpLocks noChangeShapeType="1"/>
                        </wps:cNvCnPr>
                        <wps:spPr bwMode="auto">
                          <a:xfrm>
                            <a:off x="3079" y="8673"/>
                            <a:ext cx="5760" cy="35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106"/>
                        <wps:cNvCnPr>
                          <a:cxnSpLocks noChangeShapeType="1"/>
                        </wps:cNvCnPr>
                        <wps:spPr bwMode="auto">
                          <a:xfrm>
                            <a:off x="3727" y="7865"/>
                            <a:ext cx="4188" cy="3335"/>
                          </a:xfrm>
                          <a:prstGeom prst="straightConnector1">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wps:wsp>
                        <wps:cNvPr id="10" name="AutoShape 107"/>
                        <wps:cNvCnPr>
                          <a:cxnSpLocks noChangeShapeType="1"/>
                        </wps:cNvCnPr>
                        <wps:spPr bwMode="auto">
                          <a:xfrm flipV="1">
                            <a:off x="3196" y="7762"/>
                            <a:ext cx="4408" cy="3046"/>
                          </a:xfrm>
                          <a:prstGeom prst="straightConnector1">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wps:wsp>
                        <wps:cNvPr id="11" name="Text Box 108"/>
                        <wps:cNvSpPr txBox="1">
                          <a:spLocks noChangeArrowheads="1"/>
                        </wps:cNvSpPr>
                        <wps:spPr bwMode="auto">
                          <a:xfrm>
                            <a:off x="8841" y="11200"/>
                            <a:ext cx="886" cy="3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CF2086" w14:textId="77777777" w:rsidR="008945D0" w:rsidRDefault="008945D0" w:rsidP="00B508DA">
                              <w:r>
                                <w:t>Quantity</w:t>
                              </w:r>
                            </w:p>
                          </w:txbxContent>
                        </wps:txbx>
                        <wps:bodyPr rot="0" vert="horz" wrap="square" lIns="0" tIns="45720" rIns="0" bIns="45720" anchor="t" anchorCtr="0" upright="1">
                          <a:spAutoFit/>
                        </wps:bodyPr>
                      </wps:wsp>
                      <wps:wsp>
                        <wps:cNvPr id="12" name="Text Box 109"/>
                        <wps:cNvSpPr txBox="1">
                          <a:spLocks noChangeArrowheads="1"/>
                        </wps:cNvSpPr>
                        <wps:spPr bwMode="auto">
                          <a:xfrm>
                            <a:off x="2744" y="9400"/>
                            <a:ext cx="337" cy="3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5DB97C" w14:textId="77777777" w:rsidR="008945D0" w:rsidRDefault="008945D0" w:rsidP="00B508DA">
                              <w:r>
                                <w:t>P</w:t>
                              </w:r>
                              <w:r>
                                <w:rPr>
                                  <w:vertAlign w:val="superscript"/>
                                </w:rPr>
                                <w:t>c</w:t>
                              </w:r>
                            </w:p>
                          </w:txbxContent>
                        </wps:txbx>
                        <wps:bodyPr rot="0" vert="horz" wrap="square" lIns="0" tIns="45720" rIns="0" bIns="45720" anchor="t" anchorCtr="0" upright="1">
                          <a:spAutoFit/>
                        </wps:bodyPr>
                      </wps:wsp>
                      <wps:wsp>
                        <wps:cNvPr id="13" name="Text Box 110"/>
                        <wps:cNvSpPr txBox="1">
                          <a:spLocks noChangeArrowheads="1"/>
                        </wps:cNvSpPr>
                        <wps:spPr bwMode="auto">
                          <a:xfrm>
                            <a:off x="8594" y="10012"/>
                            <a:ext cx="424" cy="3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B85699" w14:textId="77777777" w:rsidR="008945D0" w:rsidRDefault="008945D0" w:rsidP="00B508DA">
                              <w:proofErr w:type="spellStart"/>
                              <w:r>
                                <w:t>P</w:t>
                              </w:r>
                              <w:r>
                                <w:rPr>
                                  <w:vertAlign w:val="superscript"/>
                                </w:rPr>
                                <w:t>x</w:t>
                              </w:r>
                              <w:proofErr w:type="spellEnd"/>
                            </w:p>
                          </w:txbxContent>
                        </wps:txbx>
                        <wps:bodyPr rot="0" vert="horz" wrap="square" lIns="91440" tIns="45720" rIns="91440" bIns="45720" anchor="t" anchorCtr="0" upright="1">
                          <a:spAutoFit/>
                        </wps:bodyPr>
                      </wps:wsp>
                      <wps:wsp>
                        <wps:cNvPr id="14" name="Text Box 111"/>
                        <wps:cNvSpPr txBox="1">
                          <a:spLocks noChangeArrowheads="1"/>
                        </wps:cNvSpPr>
                        <wps:spPr bwMode="auto">
                          <a:xfrm>
                            <a:off x="3196" y="9181"/>
                            <a:ext cx="1569" cy="3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2B939A" w14:textId="77777777" w:rsidR="008945D0" w:rsidRDefault="008945D0" w:rsidP="00B508DA">
                              <w:r>
                                <w:t>Variable cost</w:t>
                              </w:r>
                            </w:p>
                          </w:txbxContent>
                        </wps:txbx>
                        <wps:bodyPr rot="0" vert="horz" wrap="square" lIns="91440" tIns="45720" rIns="91440" bIns="45720" anchor="t" anchorCtr="0" upright="1">
                          <a:spAutoFit/>
                        </wps:bodyPr>
                      </wps:wsp>
                      <wps:wsp>
                        <wps:cNvPr id="15" name="Text Box 112"/>
                        <wps:cNvSpPr txBox="1">
                          <a:spLocks noChangeArrowheads="1"/>
                        </wps:cNvSpPr>
                        <wps:spPr bwMode="auto">
                          <a:xfrm>
                            <a:off x="8354" y="8604"/>
                            <a:ext cx="425" cy="3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598FB4" w14:textId="77777777" w:rsidR="008945D0" w:rsidRDefault="008945D0" w:rsidP="00B508DA">
                              <w:r>
                                <w:t>P</w:t>
                              </w:r>
                              <w:r>
                                <w:rPr>
                                  <w:vertAlign w:val="superscript"/>
                                </w:rPr>
                                <w:t>i</w:t>
                              </w:r>
                            </w:p>
                          </w:txbxContent>
                        </wps:txbx>
                        <wps:bodyPr rot="0" vert="horz" wrap="square" lIns="91440" tIns="45720" rIns="91440" bIns="45720" anchor="t" anchorCtr="0" upright="1">
                          <a:spAutoFit/>
                        </wps:bodyPr>
                      </wps:wsp>
                      <wps:wsp>
                        <wps:cNvPr id="16" name="AutoShape 113"/>
                        <wps:cNvCnPr>
                          <a:cxnSpLocks noChangeShapeType="1"/>
                        </wps:cNvCnPr>
                        <wps:spPr bwMode="auto">
                          <a:xfrm>
                            <a:off x="3081" y="9181"/>
                            <a:ext cx="5758" cy="1"/>
                          </a:xfrm>
                          <a:prstGeom prst="straightConnector1">
                            <a:avLst/>
                          </a:prstGeom>
                          <a:noFill/>
                          <a:ln w="2540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rgbClr val="7F7F7F">
                                      <a:alpha val="50000"/>
                                    </a:srgbClr>
                                  </a:outerShdw>
                                </a:effectLst>
                              </a14:hiddenEffects>
                            </a:ext>
                          </a:extLst>
                        </wps:spPr>
                        <wps:bodyPr/>
                      </wps:wsp>
                      <wps:wsp>
                        <wps:cNvPr id="17" name="Text Box 114"/>
                        <wps:cNvSpPr txBox="1">
                          <a:spLocks noChangeArrowheads="1"/>
                        </wps:cNvSpPr>
                        <wps:spPr bwMode="auto">
                          <a:xfrm>
                            <a:off x="3196" y="8765"/>
                            <a:ext cx="1039" cy="3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4A8584" w14:textId="77777777" w:rsidR="008945D0" w:rsidRDefault="008945D0" w:rsidP="00B508DA">
                              <w:r>
                                <w:t>Fixed cost</w:t>
                              </w:r>
                            </w:p>
                          </w:txbxContent>
                        </wps:txbx>
                        <wps:bodyPr rot="0" vert="horz" wrap="square" lIns="91440" tIns="45720" rIns="91440" bIns="45720" anchor="t" anchorCtr="0" upright="1">
                          <a:spAutoFit/>
                        </wps:bodyPr>
                      </wps:wsp>
                      <wps:wsp>
                        <wps:cNvPr id="18" name="AutoShape 115"/>
                        <wps:cNvCnPr>
                          <a:cxnSpLocks noChangeShapeType="1"/>
                        </wps:cNvCnPr>
                        <wps:spPr bwMode="auto">
                          <a:xfrm>
                            <a:off x="4142" y="8765"/>
                            <a:ext cx="2" cy="417"/>
                          </a:xfrm>
                          <a:prstGeom prst="straightConnector1">
                            <a:avLst/>
                          </a:prstGeom>
                          <a:noFill/>
                          <a:ln w="63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9" name="AutoShape 116"/>
                        <wps:cNvCnPr>
                          <a:cxnSpLocks noChangeShapeType="1"/>
                        </wps:cNvCnPr>
                        <wps:spPr bwMode="auto">
                          <a:xfrm>
                            <a:off x="4429" y="9158"/>
                            <a:ext cx="2" cy="417"/>
                          </a:xfrm>
                          <a:prstGeom prst="straightConnector1">
                            <a:avLst/>
                          </a:prstGeom>
                          <a:noFill/>
                          <a:ln w="63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0" name="Text Box 117"/>
                        <wps:cNvSpPr txBox="1">
                          <a:spLocks noChangeArrowheads="1"/>
                        </wps:cNvSpPr>
                        <wps:spPr bwMode="auto">
                          <a:xfrm>
                            <a:off x="7664" y="7762"/>
                            <a:ext cx="886" cy="3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CCCE55" w14:textId="77777777" w:rsidR="008945D0" w:rsidRDefault="008945D0" w:rsidP="00B508DA">
                              <w:r>
                                <w:t>Supply</w:t>
                              </w:r>
                            </w:p>
                          </w:txbxContent>
                        </wps:txbx>
                        <wps:bodyPr rot="0" vert="horz" wrap="square" lIns="91440" tIns="45720" rIns="91440" bIns="45720" anchor="t" anchorCtr="0" upright="1">
                          <a:spAutoFit/>
                        </wps:bodyPr>
                      </wps:wsp>
                      <wps:wsp>
                        <wps:cNvPr id="21" name="Text Box 118"/>
                        <wps:cNvSpPr txBox="1">
                          <a:spLocks noChangeArrowheads="1"/>
                        </wps:cNvSpPr>
                        <wps:spPr bwMode="auto">
                          <a:xfrm>
                            <a:off x="4144" y="7762"/>
                            <a:ext cx="886" cy="3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B658E7" w14:textId="77777777" w:rsidR="008945D0" w:rsidRDefault="008945D0" w:rsidP="00B508DA">
                              <w:r>
                                <w:t>Demand</w:t>
                              </w:r>
                            </w:p>
                          </w:txbxContent>
                        </wps:txbx>
                        <wps:bodyPr rot="0" vert="horz" wrap="square" lIns="91440" tIns="45720" rIns="91440" bIns="45720" anchor="t" anchorCtr="0" upright="1">
                          <a:spAutoFit/>
                        </wps:bodyPr>
                      </wps:wsp>
                      <wps:wsp>
                        <wps:cNvPr id="22" name="AutoShape 119"/>
                        <wps:cNvCnPr>
                          <a:cxnSpLocks noChangeShapeType="1"/>
                        </wps:cNvCnPr>
                        <wps:spPr bwMode="auto">
                          <a:xfrm>
                            <a:off x="8977" y="9092"/>
                            <a:ext cx="1" cy="920"/>
                          </a:xfrm>
                          <a:prstGeom prst="straightConnector1">
                            <a:avLst/>
                          </a:prstGeom>
                          <a:noFill/>
                          <a:ln w="63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3" name="Text Box 120"/>
                        <wps:cNvSpPr txBox="1">
                          <a:spLocks noChangeArrowheads="1"/>
                        </wps:cNvSpPr>
                        <wps:spPr bwMode="auto">
                          <a:xfrm>
                            <a:off x="8354" y="9285"/>
                            <a:ext cx="1373" cy="5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3282CA" w14:textId="77777777" w:rsidR="008945D0" w:rsidRDefault="008945D0" w:rsidP="00B508DA">
                              <w:proofErr w:type="spellStart"/>
                              <w:r>
                                <w:t>Nontradables</w:t>
                              </w:r>
                              <w:proofErr w:type="spellEnd"/>
                              <w:r>
                                <w:t xml:space="preserve"> price band</w:t>
                              </w:r>
                            </w:p>
                          </w:txbxContent>
                        </wps:txbx>
                        <wps:bodyPr rot="0" vert="horz" wrap="square" lIns="91440" tIns="45720" rIns="91440" bIns="45720" anchor="t" anchorCtr="0" upright="1">
                          <a:spAutoFit/>
                        </wps:bodyPr>
                      </wps:wsp>
                    </wpg:wgp>
                  </a:graphicData>
                </a:graphic>
              </wp:inline>
            </w:drawing>
          </mc:Choice>
          <mc:Fallback>
            <w:pict>
              <v:group id="Group 98" o:spid="_x0000_s1042" style="width:468pt;height:280.8pt;mso-position-horizontal-relative:char;mso-position-vertical-relative:line" coordorigin="2527,7470" coordsize="7200,43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">
                <o:lock v:ext="edit" aspectratio="t"/>
                <v:rect id="AutoShape 99" o:spid="_x0000_s1043" style="position:absolute;left:2527;top:7470;width:7200;height:4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wX1pwwAA&#10;ANoAAAAPAAAAZHJzL2Rvd25yZXYueG1sRI9Pi8IwFMTvwn6H8Ba8yJrqQaRrlEVYLIsg1j/nR/Ns&#10;i81LbbJt/fZGEDwOM/MbZrHqTSVaalxpWcFkHIEgzqwuOVdwPPx+zUE4j6yxskwK7uRgtfwYLDDW&#10;tuM9tanPRYCwi1FB4X0dS+myggy6sa2Jg3exjUEfZJNL3WAX4KaS0yiaSYMlh4UCa1oXlF3Tf6Og&#10;y3bt+bDdyN3onFi+Jbd1evpTavjZ/3yD8NT7d/jVTrSCKTyvhBsgl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1wX1pwwAAANoAAAAPAAAAAAAAAAAAAAAAAJcCAABkcnMvZG93&#10;bnJldi54bWxQSwUGAAAAAAQABAD1AAAAhwMAAAAA&#10;" filled="f" stroked="f">
                  <o:lock v:ext="edit" aspectratio="t" text="t"/>
                </v:rect>
                <v:shape id="AutoShape 100" o:spid="_x0000_s1044" type="#_x0000_t32" style="position:absolute;left:3081;top:7865;width:0;height:3554;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Vus6MQAAADaAAAADwAAAGRycy9kb3ducmV2LnhtbESPT2sCMRTE74V+h/AEL0WzWhTZGmVb&#10;EGrBg396f928boKbl+0m6vrtTUHwOMzMb5j5snO1OFMbrGcFo2EGgrj02nKl4LBfDWYgQkTWWHsm&#10;BVcKsFw8P80x1/7CWzrvYiUShEOOCkyMTS5lKA05DEPfECfv17cOY5JtJXWLlwR3tRxn2VQ6tJwW&#10;DDb0Yag87k5OwWY9ei9+jF1/bf/sZrIq6lP18q1Uv9cVbyAidfERvrc/tYJX+L+SboBc3A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5W6zoxAAAANoAAAAPAAAAAAAAAAAA&#10;AAAAAKECAABkcnMvZG93bnJldi54bWxQSwUGAAAAAAQABAD5AAAAkgMAAAAA&#10;"/>
                <v:shape id="AutoShape 101" o:spid="_x0000_s1045" type="#_x0000_t32" style="position:absolute;left:3081;top:11419;width:5896;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rI0nMQAAADaAAAADwAAAGRycy9kb3ducmV2LnhtbESPT2sCMRTE74V+h/AEL0WzShXZGmVb&#10;EGrBg396f928boKbl+0m6vrtTUHwOMzMb5j5snO1OFMbrGcFo2EGgrj02nKl4LBfDWYgQkTWWHsm&#10;BVcKsFw8P80x1/7CWzrvYiUShEOOCkyMTS5lKA05DEPfECfv17cOY5JtJXWLlwR3tRxn2VQ6tJwW&#10;DDb0Yag87k5OwWY9ei9+jF1/bf/sZrIq6lP18q1Uv9cVbyAidfERvrc/tYJX+L+SboBc3A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2sjScxAAAANoAAAAPAAAAAAAAAAAA&#10;AAAAAKECAABkcnMvZG93bnJldi54bWxQSwUGAAAAAAQABAD5AAAAkgMAAAAA&#10;"/>
                <v:shape id="AutoShape 102" o:spid="_x0000_s1046" type="#_x0000_t32" style="position:absolute;left:3081;top:9573;width:5758;height:2;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f6RB8MAAADaAAAADwAAAGRycy9kb3ducmV2LnhtbESPQWsCMRSE7wX/Q3iCl1KzCkpZjbIt&#10;CFXwoLb35+Z1E7p52W6irv/eCILHYWa+YebLztXiTG2wnhWMhhkI4tJry5WC78Pq7R1EiMgaa8+k&#10;4EoBloveyxxz7S+8o/M+ViJBOOSowMTY5FKG0pDDMPQNcfJ+feswJtlWUrd4SXBXy3GWTaVDy2nB&#10;YEOfhsq//ckp2K5HH8XR2PVm92+3k1VRn6rXH6UG/a6YgYjUxWf40f7SCiZwv5JugFzc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n+kQfDAAAA2gAAAA8AAAAAAAAAAAAA&#10;AAAAoQIAAGRycy9kb3ducmV2LnhtbFBLBQYAAAAABAAEAPkAAACRAwAAAAA=&#10;"/>
                <v:shape id="AutoShape 103" o:spid="_x0000_s1047" type="#_x0000_t32" style="position:absolute;left:3081;top:9896;width:5758;height: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8RSosIAAADaAAAADwAAAGRycy9kb3ducmV2LnhtbESPQWvCQBSE7wX/w/IEL0U3egglukoQ&#10;RaGXNi14fWafSTD7NmSfGv99t1DocZiZb5jVZnCtulMfGs8G5rMEFHHpbcOVge+v/fQNVBBki61n&#10;MvCkAJv16GWFmfUP/qR7IZWKEA4ZGqhFukzrUNbkMMx8Rxy9i+8dSpR9pW2Pjwh3rV4kSaodNhwX&#10;auxoW1N5LW7OwEkXx9fdx7475Jxvg6Tvz0TOxkzGQ74EJTTIf/ivfbQGUvi9Em+AXv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a8RSosIAAADaAAAADwAAAAAAAAAAAAAA&#10;AAChAgAAZHJzL2Rvd25yZXYueG1sUEsFBgAAAAAEAAQA+QAAAJADAAAAAA==&#10;" strokeweight="2pt">
                  <v:stroke dashstyle="1 1"/>
                  <v:shadow color="#7f7f7f" opacity=".5" offset="1pt"/>
                </v:shape>
                <v:shape id="AutoShape 104" o:spid="_x0000_s1048" type="#_x0000_t32" style="position:absolute;left:3079;top:10012;width:5760;height:357;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w+YVcIAAADaAAAADwAAAGRycy9kb3ducmV2LnhtbESPQYvCMBSE7wv+h/CEvSya1oMr1Sgi&#10;COJhYbUHj4/k2Rabl5rE2v33mwVhj8PMfMOsNoNtRU8+NI4V5NMMBLF2puFKQXneTxYgQkQ22Dom&#10;BT8UYLMeva2wMO7J39SfYiUShEOBCuoYu0LKoGuyGKauI07e1XmLMUlfSePxmeC2lbMsm0uLDaeF&#10;Gjva1aRvp4dV0BzLr7L/uEevF8f84vNwvrRaqffxsF2CiDTE//CrfTAKPuHvSroBcv0L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gw+YVcIAAADaAAAADwAAAAAAAAAAAAAA&#10;AAChAgAAZHJzL2Rvd25yZXYueG1sUEsFBgAAAAAEAAQA+QAAAJADAAAAAA==&#10;"/>
                <v:shape id="AutoShape 105" o:spid="_x0000_s1049" type="#_x0000_t32" style="position:absolute;left:3079;top:8673;width:5760;height:358;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3/z6ZwQAAANoAAAAPAAAAAAAAAAAAAAAA&#10;AKECAABkcnMvZG93bnJldi54bWxQSwUGAAAAAAQABAD5AAAAjwMAAAAA&#10;"/>
                <v:shape id="AutoShape 106" o:spid="_x0000_s1050" type="#_x0000_t32" style="position:absolute;left:3727;top:7865;width:4188;height:333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qzlkcIAAADaAAAADwAAAGRycy9kb3ducmV2LnhtbESPQWsCMRSE7wX/Q3iCt5pVUOzWKCJK&#10;PfTitocen5vXZHHzsiaprv++KRQ8DjPzDbNc964VVwqx8axgMi5AENdeN2wUfH7snxcgYkLW2Hom&#10;BXeKsF4NnpZYan/jI12rZESGcCxRgU2pK6WMtSWHcew74ux9++AwZRmM1AFvGe5aOS2KuXTYcF6w&#10;2NHWUn2ufpwCumymfbDmJGfmuKPqxPP3rzelRsN+8woiUZ8e4f/2QSt4gb8r+QbI1S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oqzlkcIAAADaAAAADwAAAAAAAAAAAAAA&#10;AAChAgAAZHJzL2Rvd25yZXYueG1sUEsFBgAAAAAEAAQA+QAAAJADAAAAAA==&#10;" strokecolor="red" strokeweight="3pt"/>
                <v:shape id="AutoShape 107" o:spid="_x0000_s1051" type="#_x0000_t32" style="position:absolute;left:3196;top:7762;width:4408;height:3046;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AQagsYAAADbAAAADwAAAGRycy9kb3ducmV2LnhtbESPT0vDQBDF70K/wzIFb3bTIhJityWk&#10;VRRB6B/Q45Adk9DsbMxu0/TbOwehtxnem/d+s1yPrlUD9aHxbGA+S0ARl942XBk4Hl4eUlAhIlts&#10;PZOBKwVYryZ3S8ysv/COhn2slIRwyNBAHWOXaR3KmhyGme+IRfvxvcMoa19p2+NFwl2rF0nypB02&#10;LA01dlTUVJ72Z2dgc/5OXz9/37/yj81wyIvHIh22V2Pup2P+DCrSGG/m/+s3K/hCL7/IAHr1B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DQEGoLGAAAA2wAAAA8AAAAAAAAA&#10;AAAAAAAAoQIAAGRycy9kb3ducmV2LnhtbFBLBQYAAAAABAAEAPkAAACUAwAAAAA=&#10;" strokecolor="red" strokeweight="3pt"/>
                <v:shape id="Text Box 108" o:spid="_x0000_s1052" type="#_x0000_t202" style="position:absolute;left:8841;top:11200;width:886;height:32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MMk4wgAA&#10;ANsAAAAPAAAAZHJzL2Rvd25yZXYueG1sRE9Li8IwEL4L/ocwwt40dQ8i1SiLqCvrQbYVxNvQTB9s&#10;MylNtPXfG0HY23x8z1mue1OLO7WusqxgOolAEGdWV1woOKe78RyE88gaa8uk4EEO1qvhYImxth3/&#10;0j3xhQgh7GJUUHrfxFK6rCSDbmIb4sDltjXoA2wLqVvsQrip5WcUzaTBikNDiQ1tSsr+kptRsO3S&#10;/WWebo7pOb8kuwPn1++fk1Ifo/5rAcJT7//Fb/dBh/lTeP0SDpCrJ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swyTjCAAAA2wAAAA8AAAAAAAAAAAAAAAAAlwIAAGRycy9kb3du&#10;cmV2LnhtbFBLBQYAAAAABAAEAPUAAACGAwAAAAA=&#10;" stroked="f">
                  <v:textbox style="mso-fit-shape-to-text:t" inset="0,,0">
                    <w:txbxContent>
                      <w:p w14:paraId="47CF2086" w14:textId="77777777" w:rsidR="008945D0" w:rsidRDefault="008945D0" w:rsidP="00B508DA">
                        <w:r>
                          <w:t>Quantity</w:t>
                        </w:r>
                      </w:p>
                    </w:txbxContent>
                  </v:textbox>
                </v:shape>
                <v:shape id="Text Box 109" o:spid="_x0000_s1053" type="#_x0000_t202" style="position:absolute;left:2744;top:9400;width:337;height:32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4ldPwgAA&#10;ANsAAAAPAAAAZHJzL2Rvd25yZXYueG1sRE9Li8IwEL4L+x/CLHjTdD2IVKOIrLuiB7EVxNvQTB/Y&#10;TEoTbfffbwTB23x8z1mselOLB7WusqzgaxyBIM6srrhQcE63oxkI55E11pZJwR85WC0/BguMte34&#10;RI/EFyKEsItRQel9E0vpspIMurFtiAOX29agD7AtpG6xC+GmlpMomkqDFYeGEhvalJTdkrtR8N2l&#10;P5dZujmk5/ySbHecX3/3R6WGn/16DsJT79/il3unw/wJPH8JB8jl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viV0/CAAAA2wAAAA8AAAAAAAAAAAAAAAAAlwIAAGRycy9kb3du&#10;cmV2LnhtbFBLBQYAAAAABAAEAPUAAACGAwAAAAA=&#10;" stroked="f">
                  <v:textbox style="mso-fit-shape-to-text:t" inset="0,,0">
                    <w:txbxContent>
                      <w:p w14:paraId="055DB97C" w14:textId="77777777" w:rsidR="008945D0" w:rsidRDefault="008945D0" w:rsidP="00B508DA">
                        <w:r>
                          <w:t>P</w:t>
                        </w:r>
                        <w:r>
                          <w:rPr>
                            <w:vertAlign w:val="superscript"/>
                          </w:rPr>
                          <w:t>c</w:t>
                        </w:r>
                      </w:p>
                    </w:txbxContent>
                  </v:textbox>
                </v:shape>
                <v:shape id="Text Box 110" o:spid="_x0000_s1054" type="#_x0000_t202" style="position:absolute;left:8594;top:10012;width:424;height:32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ynmhxAAA&#10;ANsAAAAPAAAAZHJzL2Rvd25yZXYueG1sRI9Ba8JAEIXvhf6HZQremo0WQ0ldpRQKUjwY7aHHYXea&#10;TZOdTbOrxn/vCoK3Gd6b971ZrEbXiSMNofGsYJrlIIi1Nw3XCr73n8+vIEJENth5JgVnCrBaPj4s&#10;sDT+xBUdd7EWKYRDiQpsjH0pZdCWHIbM98RJ+/WDw5jWoZZmwFMKd52c5XkhHTacCBZ7+rCk293B&#10;Jcgm6EPl//+mm1b+2LbA+dZ+KTV5Gt/fQEQa4918u16bVP8Frr+kAeTy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xsp5ocQAAADbAAAADwAAAAAAAAAAAAAAAACXAgAAZHJzL2Rv&#10;d25yZXYueG1sUEsFBgAAAAAEAAQA9QAAAIgDAAAAAA==&#10;" stroked="f">
                  <v:textbox style="mso-fit-shape-to-text:t">
                    <w:txbxContent>
                      <w:p w14:paraId="08B85699" w14:textId="77777777" w:rsidR="008945D0" w:rsidRDefault="008945D0" w:rsidP="00B508DA">
                        <w:proofErr w:type="spellStart"/>
                        <w:r>
                          <w:t>P</w:t>
                        </w:r>
                        <w:r>
                          <w:rPr>
                            <w:vertAlign w:val="superscript"/>
                          </w:rPr>
                          <w:t>x</w:t>
                        </w:r>
                        <w:proofErr w:type="spellEnd"/>
                      </w:p>
                    </w:txbxContent>
                  </v:textbox>
                </v:shape>
                <v:shape id="Text Box 111" o:spid="_x0000_s1055" type="#_x0000_t202" style="position:absolute;left:3196;top:9181;width:1569;height:32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I+HVxAAA&#10;ANsAAAAPAAAAZHJzL2Rvd25yZXYueG1sRI9Ba8JAEIXvhf6HZQremo1SQ0ldpRQKUjwY7aHHYXea&#10;TZOdTbOrxn/vCoK3Gd6b971ZrEbXiSMNofGsYJrlIIi1Nw3XCr73n8+vIEJENth5JgVnCrBaPj4s&#10;sDT+xBUdd7EWKYRDiQpsjH0pZdCWHIbM98RJ+/WDw5jWoZZmwFMKd52c5XkhHTacCBZ7+rCk293B&#10;Jcgm6EPl//+mm1b+2LbA+dZ+KTV5Gt/fQEQa4918u16bVP8Frr+kAeTy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SSPh1cQAAADbAAAADwAAAAAAAAAAAAAAAACXAgAAZHJzL2Rv&#10;d25yZXYueG1sUEsFBgAAAAAEAAQA9QAAAIgDAAAAAA==&#10;" stroked="f">
                  <v:textbox style="mso-fit-shape-to-text:t">
                    <w:txbxContent>
                      <w:p w14:paraId="5B2B939A" w14:textId="77777777" w:rsidR="008945D0" w:rsidRDefault="008945D0" w:rsidP="00B508DA">
                        <w:r>
                          <w:t>Variable cost</w:t>
                        </w:r>
                      </w:p>
                    </w:txbxContent>
                  </v:textbox>
                </v:shape>
                <v:shape id="Text Box 112" o:spid="_x0000_s1056" type="#_x0000_t202" style="position:absolute;left:8354;top:8604;width:425;height:32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b0ROwgAA&#10;ANsAAAAPAAAAZHJzL2Rvd25yZXYueG1sRI/NqsIwEIX3F3yHMIK7a6qgSDWKCIKIC/8WLodmbGqb&#10;SW2i1rc3woW7m+GcOd+Z2aK1lXhS4wvHCgb9BARx5nTBuYLzaf07AeEDssbKMSl4k4fFvPMzw1S7&#10;Fx/oeQy5iCHsU1RgQqhTKX1myKLvu5o4alfXWAxxbXKpG3zFcFvJYZKMpcWCI8FgTStDWXl82AjZ&#10;+exxcPfbYFfKiynHONqbrVK9brucggjUhn/z3/VGx/oj+P4SB5Dz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ZvRE7CAAAA2wAAAA8AAAAAAAAAAAAAAAAAlwIAAGRycy9kb3du&#10;cmV2LnhtbFBLBQYAAAAABAAEAPUAAACGAwAAAAA=&#10;" stroked="f">
                  <v:textbox style="mso-fit-shape-to-text:t">
                    <w:txbxContent>
                      <w:p w14:paraId="3D598FB4" w14:textId="77777777" w:rsidR="008945D0" w:rsidRDefault="008945D0" w:rsidP="00B508DA">
                        <w:r>
                          <w:t>P</w:t>
                        </w:r>
                        <w:r>
                          <w:rPr>
                            <w:vertAlign w:val="superscript"/>
                          </w:rPr>
                          <w:t>i</w:t>
                        </w:r>
                      </w:p>
                    </w:txbxContent>
                  </v:textbox>
                </v:shape>
                <v:shape id="AutoShape 113" o:spid="_x0000_s1057" type="#_x0000_t32" style="position:absolute;left:3081;top:9181;width:5758;height: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9G3ysEAAADbAAAADwAAAGRycy9kb3ducmV2LnhtbERPTWvCQBC9F/wPywheim70EEp0lSCK&#10;Qi9tWvA6ZsckmJ0N2VHjv+8WCr3N433OajO4Vt2pD41nA/NZAoq49LbhysD31376BioIssXWMxl4&#10;UoDNevSywsz6B3/SvZBKxRAOGRqoRbpM61DW5DDMfEccuYvvHUqEfaVtj48Y7lq9SJJUO2w4NtTY&#10;0bam8lrcnIGTLo6vu499d8g53wZJ35+JnI2ZjId8CUpokH/xn/to4/wUfn+JB+j1D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f0bfKwQAAANsAAAAPAAAAAAAAAAAAAAAA&#10;AKECAABkcnMvZG93bnJldi54bWxQSwUGAAAAAAQABAD5AAAAjwMAAAAA&#10;" strokeweight="2pt">
                  <v:stroke dashstyle="1 1"/>
                  <v:shadow color="#7f7f7f" opacity=".5" offset="1pt"/>
                </v:shape>
                <v:shape id="Text Box 114" o:spid="_x0000_s1058" type="#_x0000_t202" style="position:absolute;left:3196;top:8765;width:1039;height:32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8X+iwwAA&#10;ANsAAAAPAAAAZHJzL2Rvd25yZXYueG1sRI/Ni8IwEMXvC/4PYQRva+qCH1SjiLCwiAe/Dh6HZmxq&#10;m0m3iVr/eyMI3mZ4b97vzWzR2krcqPGFYwWDfgKCOHO64FzB8fD7PQHhA7LGyjEpeJCHxbzzNcNU&#10;uzvv6LYPuYgh7FNUYEKoUyl9Zsii77uaOGpn11gMcW1yqRu8x3BbyZ8kGUmLBUeCwZpWhrJyf7UR&#10;svHZdef+L4NNKU+mHOFwa9ZK9brtcgoiUBs+5vf1n471x/D6JQ4g50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58X+iwwAAANsAAAAPAAAAAAAAAAAAAAAAAJcCAABkcnMvZG93&#10;bnJldi54bWxQSwUGAAAAAAQABAD1AAAAhwMAAAAA&#10;" stroked="f">
                  <v:textbox style="mso-fit-shape-to-text:t">
                    <w:txbxContent>
                      <w:p w14:paraId="5E4A8584" w14:textId="77777777" w:rsidR="008945D0" w:rsidRDefault="008945D0" w:rsidP="00B508DA">
                        <w:r>
                          <w:t>Fixed cost</w:t>
                        </w:r>
                      </w:p>
                    </w:txbxContent>
                  </v:textbox>
                </v:shape>
                <v:shape id="AutoShape 115" o:spid="_x0000_s1059" type="#_x0000_t32" style="position:absolute;left:4142;top:8765;width:2;height:417;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NuJTcQAAADbAAAADwAAAGRycy9kb3ducmV2LnhtbESPT2sCMRDF74V+hzCFXopm9SCyGkWE&#10;gqBU/EN7HTbjZnEzWZJUt9++cxC8zfDevPeb+bL3rbpRTE1gA6NhAYq4Crbh2sD59DmYgkoZ2WIb&#10;mAz8UYLl4vVljqUNdz7Q7ZhrJSGcSjTgcu5KrVPlyGMaho5YtEuIHrOssdY24l3CfavHRTHRHhuW&#10;BocdrR1V1+OvN7BzH2n/vd1Muq91tWriaBd/TlNj3t/61QxUpj4/zY/rjRV8gZVfZAC9+A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s24lNxAAAANsAAAAPAAAAAAAAAAAA&#10;AAAAAKECAABkcnMvZG93bnJldi54bWxQSwUGAAAAAAQABAD5AAAAkgMAAAAA&#10;" strokeweight=".5pt">
                  <v:stroke startarrow="block" endarrow="block"/>
                </v:shape>
                <v:shape id="AutoShape 116" o:spid="_x0000_s1060" type="#_x0000_t32" style="position:absolute;left:4429;top:9158;width:2;height:417;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5cs1sIAAADbAAAADwAAAGRycy9kb3ducmV2LnhtbERP32vCMBB+H/g/hBN8GTPVB9HOKKUg&#10;CJON6dhej+bWFJtLSbK2/vdmMNjbfXw/b7sfbSt68qFxrGAxz0AQV043XCv4uBye1iBCRNbYOiYF&#10;Nwqw300etphrN/A79edYixTCIUcFJsYulzJUhiyGueuIE/ftvMWYoK+l9jikcNvKZZatpMWGU4PB&#10;jkpD1fX8YxWczGN4+3w5rrrXsioavzj5r8taqdl0LJ5BRBrjv/jPfdRp/gZ+f0kHyN0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g5cs1sIAAADbAAAADwAAAAAAAAAAAAAA&#10;AAChAgAAZHJzL2Rvd25yZXYueG1sUEsFBgAAAAAEAAQA+QAAAJADAAAAAA==&#10;" strokeweight=".5pt">
                  <v:stroke startarrow="block" endarrow="block"/>
                </v:shape>
                <v:shape id="Text Box 117" o:spid="_x0000_s1061" type="#_x0000_t202" style="position:absolute;left:7664;top:7762;width:886;height:32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dC1rvwAA&#10;ANsAAAAPAAAAZHJzL2Rvd25yZXYueG1sRE9Na8JAEL0X/A/LCN7qRkEp0VVEKBTxoLaHHofsmI3J&#10;zsbsqvHfO4dCj4/3vVz3vlF36mIV2MBknIEiLoKtuDTw8/35/gEqJmSLTWAy8KQI69XgbYm5DQ8+&#10;0v2USiUhHHM04FJqc61j4chjHIeWWLhz6DwmgV2pbYcPCfeNnmbZXHusWBoctrR1VNSnm5eSfSxu&#10;x3C9TPa1/nX1HGcHtzNmNOw3C1CJ+vQv/nN/WQNTWS9f5Afo1Qs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Ph0LWu/AAAA2wAAAA8AAAAAAAAAAAAAAAAAlwIAAGRycy9kb3ducmV2&#10;LnhtbFBLBQYAAAAABAAEAPUAAACDAwAAAAA=&#10;" stroked="f">
                  <v:textbox style="mso-fit-shape-to-text:t">
                    <w:txbxContent>
                      <w:p w14:paraId="17CCCE55" w14:textId="77777777" w:rsidR="008945D0" w:rsidRDefault="008945D0" w:rsidP="00B508DA">
                        <w:r>
                          <w:t>Supply</w:t>
                        </w:r>
                      </w:p>
                    </w:txbxContent>
                  </v:textbox>
                </v:shape>
                <v:shape id="Text Box 118" o:spid="_x0000_s1062" type="#_x0000_t202" style="position:absolute;left:4144;top:7762;width:886;height:32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OIjwwQAA&#10;ANsAAAAPAAAAZHJzL2Rvd25yZXYueG1sRI9Li8IwFIX3A/6HcAV3Y1pBkWoUEQQRF74WLi/Ntalt&#10;bmoTtf77ycDALA/n8XHmy87W4kWtLx0rSIcJCOLc6ZILBZfz5nsKwgdkjbVjUvAhD8tF72uOmXZv&#10;PtLrFAoRR9hnqMCE0GRS+tyQRT90DXH0bq61GKJsC6lbfMdxW8tRkkykxZIjwWBDa0N5dXraCNn7&#10;/Hl0j3u6r+TVVBMcH8xOqUG/W81ABOrCf/ivvdUKRin8fok/QC5+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lziI8MEAAADbAAAADwAAAAAAAAAAAAAAAACXAgAAZHJzL2Rvd25y&#10;ZXYueG1sUEsFBgAAAAAEAAQA9QAAAIUDAAAAAA==&#10;" stroked="f">
                  <v:textbox style="mso-fit-shape-to-text:t">
                    <w:txbxContent>
                      <w:p w14:paraId="50B658E7" w14:textId="77777777" w:rsidR="008945D0" w:rsidRDefault="008945D0" w:rsidP="00B508DA">
                        <w:r>
                          <w:t>Demand</w:t>
                        </w:r>
                      </w:p>
                    </w:txbxContent>
                  </v:textbox>
                </v:shape>
                <v:shape id="AutoShape 119" o:spid="_x0000_s1063" type="#_x0000_t32" style="position:absolute;left:8977;top:9092;width:1;height:92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190GsMAAADbAAAADwAAAGRycy9kb3ducmV2LnhtbESPQYvCMBSE74L/ITzBi2hqDyLVKCIs&#10;CIrLquxeH82zKTYvJclq/fcbQdjjMDPfMMt1ZxtxJx9qxwqmkwwEcel0zZWCy/ljPAcRIrLGxjEp&#10;eFKA9arfW2Kh3YO/6H6KlUgQDgUqMDG2hZShNGQxTFxLnLyr8xZjkr6S2uMjwW0j8yybSYs1pwWD&#10;LW0NlbfTr1VwMKPw+b3fzdrjttzUfnrwP+e5UsNBt1mAiNTF//C7vdMK8hxeX9IPkKs/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NfdBrDAAAA2wAAAA8AAAAAAAAAAAAA&#10;AAAAoQIAAGRycy9kb3ducmV2LnhtbFBLBQYAAAAABAAEAPkAAACRAwAAAAA=&#10;" strokeweight=".5pt">
                  <v:stroke startarrow="block" endarrow="block"/>
                </v:shape>
                <v:shape id="Text Box 120" o:spid="_x0000_s1064" type="#_x0000_t202" style="position:absolute;left:8354;top:9285;width:1373;height:54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prMcwwAA&#10;ANsAAAAPAAAAZHJzL2Rvd25yZXYueG1sRI/LasMwEEX3hfyDmEB3tWyXhuJGMaUQCCWLvBZdDtbU&#10;cm2NXEtO3L+PCoEsL/dxuMtysp040+AbxwqyJAVBXDndcK3gdFw/vYLwAVlj55gU/JGHcjV7WGKh&#10;3YX3dD6EWsQR9gUqMCH0hZS+MmTRJ64njt63GyyGKIda6gEvcdx2Mk/ThbTYcCQY7OnDUNUeRhsh&#10;W1+Ne/f7k21b+WXaBb7szKdSj/Pp/Q1EoCncw7f2RivIn+H/S/wBcnU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IprMcwwAAANsAAAAPAAAAAAAAAAAAAAAAAJcCAABkcnMvZG93&#10;bnJldi54bWxQSwUGAAAAAAQABAD1AAAAhwMAAAAA&#10;" stroked="f">
                  <v:textbox style="mso-fit-shape-to-text:t">
                    <w:txbxContent>
                      <w:p w14:paraId="2C3282CA" w14:textId="77777777" w:rsidR="008945D0" w:rsidRDefault="008945D0" w:rsidP="00B508DA">
                        <w:proofErr w:type="spellStart"/>
                        <w:r>
                          <w:t>Nontradables</w:t>
                        </w:r>
                        <w:proofErr w:type="spellEnd"/>
                        <w:r>
                          <w:t xml:space="preserve"> price band</w:t>
                        </w:r>
                      </w:p>
                    </w:txbxContent>
                  </v:textbox>
                </v:shape>
                <w10:anchorlock/>
              </v:group>
            </w:pict>
          </mc:Fallback>
        </mc:AlternateContent>
      </w:r>
    </w:p>
    <w:p w14:paraId="798D3EAB" w14:textId="6A8DE9C7" w:rsidR="00C77783" w:rsidRDefault="00C77783" w:rsidP="00C77783">
      <w:pPr>
        <w:pStyle w:val="ListParagraph"/>
        <w:autoSpaceDE w:val="0"/>
        <w:autoSpaceDN w:val="0"/>
        <w:adjustRightInd w:val="0"/>
        <w:ind w:left="360"/>
        <w:rPr>
          <w:rFonts w:cs="TimesNewRomanPSMT"/>
        </w:rPr>
      </w:pPr>
      <w:r>
        <w:rPr>
          <w:rFonts w:cs="TimesNewRomanPSMT"/>
        </w:rPr>
        <w:t xml:space="preserve">Conversely, if the costs of trade with the central market are so great that the price band becomes quite wide, the local market may be segmented from the central market in spatial equilibrium.  That implies that local demand and supply conditions determine local market prices. In the case of segmented markets, there would be no price </w:t>
      </w:r>
      <w:proofErr w:type="spellStart"/>
      <w:r>
        <w:rPr>
          <w:rFonts w:cs="TimesNewRomanPSMT"/>
        </w:rPr>
        <w:t>comovement</w:t>
      </w:r>
      <w:proofErr w:type="spellEnd"/>
      <w:r>
        <w:rPr>
          <w:rFonts w:cs="TimesNewRomanPSMT"/>
        </w:rPr>
        <w:t xml:space="preserve"> between the local price and </w:t>
      </w:r>
      <w:r w:rsidRPr="00C77783">
        <w:rPr>
          <w:rFonts w:cs="TimesNewRomanPSMT"/>
        </w:rPr>
        <w:t>P</w:t>
      </w:r>
      <w:r w:rsidRPr="00C77783">
        <w:rPr>
          <w:rFonts w:cs="TimesNewRomanPSMT"/>
          <w:vertAlign w:val="superscript"/>
        </w:rPr>
        <w:t>c</w:t>
      </w:r>
      <w:r w:rsidRPr="00C77783">
        <w:rPr>
          <w:rFonts w:cs="TimesNewRomanPSMT"/>
        </w:rPr>
        <w:t>.</w:t>
      </w:r>
      <w:r>
        <w:rPr>
          <w:rFonts w:cs="TimesNewRomanPSMT"/>
        </w:rPr>
        <w:t xml:space="preserve">  </w:t>
      </w:r>
    </w:p>
    <w:p w14:paraId="3AAA2E31" w14:textId="77777777" w:rsidR="00C77783" w:rsidRDefault="00C77783" w:rsidP="00C77783">
      <w:pPr>
        <w:pStyle w:val="ListParagraph"/>
        <w:autoSpaceDE w:val="0"/>
        <w:autoSpaceDN w:val="0"/>
        <w:adjustRightInd w:val="0"/>
        <w:ind w:left="360"/>
        <w:rPr>
          <w:rFonts w:cs="TimesNewRomanPSMT"/>
        </w:rPr>
      </w:pPr>
    </w:p>
    <w:p w14:paraId="2DBAE23F" w14:textId="77777777" w:rsidR="00C77783" w:rsidRPr="00C77783" w:rsidRDefault="00C77783" w:rsidP="00C77783">
      <w:pPr>
        <w:pStyle w:val="ListParagraph"/>
        <w:autoSpaceDE w:val="0"/>
        <w:autoSpaceDN w:val="0"/>
        <w:adjustRightInd w:val="0"/>
        <w:ind w:left="360"/>
      </w:pPr>
      <w:r>
        <w:t xml:space="preserve">The spatial equilibrium concept of market integration thus depends on central market prices, local supply and demand conditions (and thus what the local market-clearing price would be in the absence of trade, often called the “autarkic price”), marketing costs (transport, credit, labor, security, tariffs and other taxes, risk </w:t>
      </w:r>
      <w:proofErr w:type="spellStart"/>
      <w:r>
        <w:t>premia</w:t>
      </w:r>
      <w:proofErr w:type="spellEnd"/>
      <w:r>
        <w:t xml:space="preserve">, etc.), and trade flows.  </w:t>
      </w:r>
    </w:p>
    <w:p w14:paraId="7586598F" w14:textId="77777777" w:rsidR="008821E2" w:rsidRPr="008821E2" w:rsidRDefault="008821E2" w:rsidP="008821E2">
      <w:pPr>
        <w:autoSpaceDE w:val="0"/>
        <w:autoSpaceDN w:val="0"/>
        <w:adjustRightInd w:val="0"/>
      </w:pPr>
    </w:p>
    <w:p w14:paraId="3E26B883" w14:textId="614E747F" w:rsidR="00943B8F" w:rsidRDefault="00C77783" w:rsidP="00C77783">
      <w:pPr>
        <w:pStyle w:val="ListParagraph"/>
        <w:ind w:left="360"/>
      </w:pPr>
      <w:r>
        <w:t>Note that i</w:t>
      </w:r>
      <w:r w:rsidR="00943B8F">
        <w:t xml:space="preserve">f markets </w:t>
      </w:r>
      <w:r>
        <w:t xml:space="preserve">are </w:t>
      </w:r>
      <w:r w:rsidR="00943B8F">
        <w:t xml:space="preserve">well integrated, </w:t>
      </w:r>
      <w:r>
        <w:t xml:space="preserve">then trade </w:t>
      </w:r>
      <w:r w:rsidR="00943B8F">
        <w:t>volume adjustments absorb all demand and supply shocks</w:t>
      </w:r>
      <w:r>
        <w:t xml:space="preserve"> because imports or exports adjust</w:t>
      </w:r>
      <w:r w:rsidR="002C038E">
        <w:t xml:space="preserve"> volumes at the edge of the price band</w:t>
      </w:r>
      <w:r w:rsidR="00943B8F">
        <w:t xml:space="preserve">. </w:t>
      </w:r>
      <w:r w:rsidR="002C038E">
        <w:t>But</w:t>
      </w:r>
      <w:r w:rsidR="00943B8F">
        <w:t xml:space="preserve"> </w:t>
      </w:r>
      <w:r w:rsidR="002C038E">
        <w:t>i</w:t>
      </w:r>
      <w:r>
        <w:t>f markets are not well integrated, then local prices have to adjust to accommodate demand and supply shocks, including those created by food security interventions such as cash, voucher or food distribution.</w:t>
      </w:r>
    </w:p>
    <w:p w14:paraId="6E815347" w14:textId="77777777" w:rsidR="002C038E" w:rsidRDefault="002C038E" w:rsidP="00C77783">
      <w:pPr>
        <w:pStyle w:val="ListParagraph"/>
        <w:ind w:left="360"/>
      </w:pPr>
    </w:p>
    <w:p w14:paraId="7264B4E4" w14:textId="77777777" w:rsidR="002C038E" w:rsidRDefault="002C038E" w:rsidP="002C038E">
      <w:pPr>
        <w:pStyle w:val="ListParagraph"/>
        <w:ind w:left="360"/>
      </w:pPr>
      <w:r>
        <w:t xml:space="preserve">The most common technique for trying to establish whether markets are integrated or segmented, following the concept of spatial equilibrium, is to study price </w:t>
      </w:r>
      <w:proofErr w:type="spellStart"/>
      <w:r>
        <w:t>comovement</w:t>
      </w:r>
      <w:proofErr w:type="spellEnd"/>
      <w:r>
        <w:t xml:space="preserve">.  This is mainly a matter of expediency because price series are typically far easier to find than cost series and it can be difficult and time-consuming to estimate local demand and supply curves.  </w:t>
      </w:r>
    </w:p>
    <w:p w14:paraId="1C7C7076" w14:textId="77777777" w:rsidR="002C038E" w:rsidRDefault="002C038E" w:rsidP="004473F6">
      <w:pPr>
        <w:pStyle w:val="ListParagraph"/>
        <w:ind w:left="1080"/>
      </w:pPr>
    </w:p>
    <w:p w14:paraId="6CF32C6A" w14:textId="569390CA" w:rsidR="002C038E" w:rsidRPr="00350E1D" w:rsidRDefault="0026706D" w:rsidP="0026706D">
      <w:pPr>
        <w:rPr>
          <w:i/>
          <w:u w:val="single"/>
        </w:rPr>
      </w:pPr>
      <w:r w:rsidRPr="00350E1D">
        <w:rPr>
          <w:i/>
          <w:u w:val="single"/>
        </w:rPr>
        <w:t>S</w:t>
      </w:r>
      <w:r w:rsidR="002C038E" w:rsidRPr="00350E1D">
        <w:rPr>
          <w:i/>
          <w:u w:val="single"/>
        </w:rPr>
        <w:t>patial price analysis</w:t>
      </w:r>
    </w:p>
    <w:p w14:paraId="47FBDEA3" w14:textId="10F4C814" w:rsidR="004253E7" w:rsidRDefault="002C038E" w:rsidP="0026706D">
      <w:pPr>
        <w:pStyle w:val="ListParagraph"/>
        <w:ind w:left="0"/>
      </w:pPr>
      <w:r>
        <w:lastRenderedPageBreak/>
        <w:t xml:space="preserve">In practical terms, time series of prices are typically the best a field analyst can </w:t>
      </w:r>
      <w:r w:rsidR="00C6717C">
        <w:t>access</w:t>
      </w:r>
      <w:r>
        <w:t xml:space="preserve"> on short notice. </w:t>
      </w:r>
      <w:r w:rsidR="00FB58A3">
        <w:t xml:space="preserve">So the first step is to acquire and examine the price time series one can obtain. </w:t>
      </w:r>
      <w:r w:rsidR="0017724D">
        <w:t xml:space="preserve">Governments typically track prices routinely in major urban areas. </w:t>
      </w:r>
      <w:r w:rsidR="00C6717C">
        <w:t>FEWS NET</w:t>
      </w:r>
      <w:r w:rsidR="008945D0">
        <w:t>, FAO GIEWS</w:t>
      </w:r>
      <w:r w:rsidR="00C6717C">
        <w:t xml:space="preserve"> </w:t>
      </w:r>
      <w:r w:rsidR="0017724D">
        <w:t>and others commonly track and publish these</w:t>
      </w:r>
      <w:r w:rsidR="00C6717C">
        <w:t xml:space="preserve"> prices,</w:t>
      </w:r>
      <w:r w:rsidR="0017724D">
        <w:t xml:space="preserve"> </w:t>
      </w:r>
      <w:r w:rsidR="00651FAE">
        <w:t xml:space="preserve">as do </w:t>
      </w:r>
      <w:r w:rsidR="0017724D">
        <w:t xml:space="preserve">some </w:t>
      </w:r>
      <w:r w:rsidR="00651FAE">
        <w:t xml:space="preserve">newspapers and web sites (e.g., the Regional Agricultural Trade Intelligence Network on east Africa, </w:t>
      </w:r>
      <w:hyperlink r:id="rId25" w:history="1">
        <w:r w:rsidR="00651FAE" w:rsidRPr="002624A1">
          <w:rPr>
            <w:rStyle w:val="Hyperlink"/>
          </w:rPr>
          <w:t>http://www.ratin.net/</w:t>
        </w:r>
      </w:hyperlink>
      <w:r w:rsidR="00651FAE">
        <w:t>).</w:t>
      </w:r>
    </w:p>
    <w:p w14:paraId="2498DE12" w14:textId="77777777" w:rsidR="005844A0" w:rsidRDefault="005844A0" w:rsidP="00CF766E"/>
    <w:p w14:paraId="178C1DA0" w14:textId="77777777" w:rsidR="005844A0" w:rsidRPr="0026706D" w:rsidRDefault="005844A0" w:rsidP="00394D68">
      <w:pPr>
        <w:pStyle w:val="ListParagraph"/>
        <w:numPr>
          <w:ilvl w:val="1"/>
          <w:numId w:val="10"/>
        </w:numPr>
        <w:ind w:left="720"/>
        <w:rPr>
          <w:i/>
        </w:rPr>
      </w:pPr>
      <w:r w:rsidRPr="0026706D">
        <w:rPr>
          <w:i/>
        </w:rPr>
        <w:t>Price data</w:t>
      </w:r>
    </w:p>
    <w:p w14:paraId="755948BB" w14:textId="55D17871" w:rsidR="005844A0" w:rsidRDefault="005844A0" w:rsidP="00CF766E">
      <w:pPr>
        <w:pStyle w:val="ListParagraph"/>
        <w:ind w:left="360"/>
      </w:pPr>
      <w:r>
        <w:t xml:space="preserve">The first </w:t>
      </w:r>
      <w:r w:rsidR="00C6717C">
        <w:t xml:space="preserve">task </w:t>
      </w:r>
      <w:r>
        <w:t xml:space="preserve">is to make sure </w:t>
      </w:r>
      <w:r w:rsidR="00C6717C">
        <w:t xml:space="preserve">that </w:t>
      </w:r>
      <w:r>
        <w:t>data are comparable.  Find out how, where and when the data are collected. In particular, make sure the commodity</w:t>
      </w:r>
      <w:r w:rsidR="009360C2">
        <w:t xml:space="preserve"> measured</w:t>
      </w:r>
      <w:r>
        <w:t xml:space="preserve"> is really the same</w:t>
      </w:r>
      <w:r w:rsidR="009360C2">
        <w:t xml:space="preserve"> across markets and/or over time</w:t>
      </w:r>
      <w:r>
        <w:t xml:space="preserve">.  Common errors include: </w:t>
      </w:r>
    </w:p>
    <w:p w14:paraId="7D482451" w14:textId="6006720C" w:rsidR="005844A0" w:rsidRDefault="005844A0" w:rsidP="00CF766E">
      <w:pPr>
        <w:pStyle w:val="ListParagraph"/>
        <w:numPr>
          <w:ilvl w:val="0"/>
          <w:numId w:val="9"/>
        </w:numPr>
      </w:pPr>
      <w:proofErr w:type="gramStart"/>
      <w:r>
        <w:t>comparing</w:t>
      </w:r>
      <w:proofErr w:type="gramEnd"/>
      <w:r>
        <w:t xml:space="preserve"> retail series in one market against wholesale series in another.  </w:t>
      </w:r>
      <w:r w:rsidR="00EA553C">
        <w:t>W</w:t>
      </w:r>
      <w:r>
        <w:t>holesale price series</w:t>
      </w:r>
      <w:r w:rsidR="00EA553C">
        <w:t xml:space="preserve"> are typically preferable</w:t>
      </w:r>
      <w:r>
        <w:t xml:space="preserve"> because we are ultimately most interested in trader responses.  </w:t>
      </w:r>
    </w:p>
    <w:p w14:paraId="53A63754" w14:textId="77777777" w:rsidR="005844A0" w:rsidRDefault="005844A0" w:rsidP="00CF766E">
      <w:pPr>
        <w:pStyle w:val="ListParagraph"/>
        <w:numPr>
          <w:ilvl w:val="0"/>
          <w:numId w:val="9"/>
        </w:numPr>
      </w:pPr>
      <w:proofErr w:type="gramStart"/>
      <w:r>
        <w:t>comparing</w:t>
      </w:r>
      <w:proofErr w:type="gramEnd"/>
      <w:r>
        <w:t xml:space="preserve"> raw commodity prices (e.g., paddy, granular maize) with processed products made from those commodities (e.g., polished rice, maize meal).  </w:t>
      </w:r>
    </w:p>
    <w:p w14:paraId="2AA56DC1" w14:textId="77777777" w:rsidR="005844A0" w:rsidRDefault="005844A0" w:rsidP="00CF766E">
      <w:pPr>
        <w:pStyle w:val="ListParagraph"/>
        <w:numPr>
          <w:ilvl w:val="0"/>
          <w:numId w:val="9"/>
        </w:numPr>
      </w:pPr>
      <w:proofErr w:type="gramStart"/>
      <w:r>
        <w:t>failing</w:t>
      </w:r>
      <w:proofErr w:type="gramEnd"/>
      <w:r>
        <w:t xml:space="preserve"> to convert prices to a common currency and to a common physical unit of account (e.g., tons) so that the prices are expressed identically (e.g., US$/metric ton). </w:t>
      </w:r>
    </w:p>
    <w:p w14:paraId="27704F98" w14:textId="312EFEA3" w:rsidR="005844A0" w:rsidRDefault="009360C2" w:rsidP="00CF766E">
      <w:pPr>
        <w:pStyle w:val="ListParagraph"/>
        <w:numPr>
          <w:ilvl w:val="0"/>
          <w:numId w:val="9"/>
        </w:numPr>
      </w:pPr>
      <w:proofErr w:type="gramStart"/>
      <w:r>
        <w:t>having</w:t>
      </w:r>
      <w:proofErr w:type="gramEnd"/>
      <w:r w:rsidR="00EA553C">
        <w:t xml:space="preserve"> </w:t>
      </w:r>
      <w:r w:rsidR="005844A0">
        <w:t xml:space="preserve">different frequency data – e.g., monthly from one place, weekly from another – </w:t>
      </w:r>
      <w:r w:rsidR="00CF766E">
        <w:t>and not matching up periods correctly.</w:t>
      </w:r>
    </w:p>
    <w:p w14:paraId="1AAA42D4" w14:textId="4A679D47" w:rsidR="005844A0" w:rsidRDefault="005844A0" w:rsidP="00CF766E">
      <w:pPr>
        <w:pStyle w:val="ListParagraph"/>
        <w:numPr>
          <w:ilvl w:val="0"/>
          <w:numId w:val="9"/>
        </w:numPr>
      </w:pPr>
      <w:proofErr w:type="gramStart"/>
      <w:r>
        <w:t>being</w:t>
      </w:r>
      <w:proofErr w:type="gramEnd"/>
      <w:r>
        <w:t xml:space="preserve"> unclear as to whether the price series are day-specific observations (i.e., </w:t>
      </w:r>
      <w:r w:rsidR="00EA553C">
        <w:t xml:space="preserve">a </w:t>
      </w:r>
      <w:r>
        <w:t xml:space="preserve">price </w:t>
      </w:r>
      <w:r w:rsidR="00EA553C">
        <w:t xml:space="preserve">recorded </w:t>
      </w:r>
      <w:r>
        <w:t xml:space="preserve">on a particular day or </w:t>
      </w:r>
      <w:r w:rsidR="00EA553C">
        <w:t xml:space="preserve">a price that </w:t>
      </w:r>
      <w:r>
        <w:t xml:space="preserve">is the average of multiple observations </w:t>
      </w:r>
      <w:r w:rsidR="00EA553C">
        <w:t xml:space="preserve">during </w:t>
      </w:r>
      <w:r>
        <w:t xml:space="preserve">a </w:t>
      </w:r>
      <w:r w:rsidR="00EA553C">
        <w:t xml:space="preserve">single </w:t>
      </w:r>
      <w:r>
        <w:t xml:space="preserve">day) or </w:t>
      </w:r>
      <w:r w:rsidR="00EA553C">
        <w:t xml:space="preserve">a </w:t>
      </w:r>
      <w:r>
        <w:t xml:space="preserve">period average (i.e., the mean of daily observations over a period).  The latter naturally </w:t>
      </w:r>
      <w:proofErr w:type="spellStart"/>
      <w:r>
        <w:t>smooths</w:t>
      </w:r>
      <w:proofErr w:type="spellEnd"/>
      <w:r>
        <w:t xml:space="preserve"> out much price variation.</w:t>
      </w:r>
    </w:p>
    <w:p w14:paraId="10D272DF" w14:textId="77777777" w:rsidR="00FB58A3" w:rsidRDefault="00FB58A3" w:rsidP="00CF766E">
      <w:pPr>
        <w:ind w:left="360"/>
      </w:pPr>
    </w:p>
    <w:p w14:paraId="748D7CCC" w14:textId="41CEC67C" w:rsidR="00CF766E" w:rsidRDefault="00CF766E" w:rsidP="00CF766E">
      <w:pPr>
        <w:ind w:left="360"/>
      </w:pPr>
      <w:r>
        <w:t>Once comparable data</w:t>
      </w:r>
      <w:r w:rsidR="00EA553C">
        <w:t xml:space="preserve"> have been compiled</w:t>
      </w:r>
      <w:r>
        <w:t xml:space="preserve">, a range of </w:t>
      </w:r>
      <w:r w:rsidR="00EA553C">
        <w:t xml:space="preserve">available </w:t>
      </w:r>
      <w:r>
        <w:t xml:space="preserve">tools – with various levels of complexity –can be </w:t>
      </w:r>
      <w:r w:rsidR="00EA553C">
        <w:t xml:space="preserve">used </w:t>
      </w:r>
      <w:r>
        <w:t xml:space="preserve">to analyze the series. </w:t>
      </w:r>
    </w:p>
    <w:p w14:paraId="72F98941" w14:textId="77777777" w:rsidR="00CF766E" w:rsidRDefault="00CF766E" w:rsidP="00CF766E">
      <w:pPr>
        <w:ind w:left="360"/>
      </w:pPr>
    </w:p>
    <w:p w14:paraId="6A137939" w14:textId="11210AEE" w:rsidR="005844A0" w:rsidRPr="003B123D" w:rsidRDefault="00744745" w:rsidP="00394D68">
      <w:pPr>
        <w:pStyle w:val="ListParagraph"/>
        <w:numPr>
          <w:ilvl w:val="1"/>
          <w:numId w:val="10"/>
        </w:numPr>
        <w:ind w:left="720"/>
        <w:rPr>
          <w:i/>
        </w:rPr>
      </w:pPr>
      <w:r w:rsidRPr="003B123D">
        <w:rPr>
          <w:i/>
        </w:rPr>
        <w:t xml:space="preserve">Statistical </w:t>
      </w:r>
      <w:r w:rsidR="0044629A" w:rsidRPr="003B123D">
        <w:rPr>
          <w:i/>
        </w:rPr>
        <w:t>m</w:t>
      </w:r>
      <w:r w:rsidRPr="003B123D">
        <w:rPr>
          <w:i/>
        </w:rPr>
        <w:t>ethods</w:t>
      </w:r>
      <w:r w:rsidR="009825D1" w:rsidRPr="003B123D">
        <w:rPr>
          <w:i/>
        </w:rPr>
        <w:t xml:space="preserve"> for </w:t>
      </w:r>
      <w:r w:rsidR="0044629A" w:rsidRPr="003B123D">
        <w:rPr>
          <w:i/>
        </w:rPr>
        <w:t>a</w:t>
      </w:r>
      <w:r w:rsidR="009825D1" w:rsidRPr="003B123D">
        <w:rPr>
          <w:i/>
        </w:rPr>
        <w:t xml:space="preserve">ssessing </w:t>
      </w:r>
      <w:r w:rsidR="0044629A" w:rsidRPr="003B123D">
        <w:rPr>
          <w:i/>
        </w:rPr>
        <w:t>m</w:t>
      </w:r>
      <w:r w:rsidR="009825D1" w:rsidRPr="003B123D">
        <w:rPr>
          <w:i/>
        </w:rPr>
        <w:t xml:space="preserve">arket </w:t>
      </w:r>
      <w:r w:rsidR="0044629A" w:rsidRPr="003B123D">
        <w:rPr>
          <w:i/>
        </w:rPr>
        <w:t>i</w:t>
      </w:r>
      <w:r w:rsidR="009825D1" w:rsidRPr="003B123D">
        <w:rPr>
          <w:i/>
        </w:rPr>
        <w:t>ntegration</w:t>
      </w:r>
    </w:p>
    <w:p w14:paraId="081E6E3B" w14:textId="6A12175D" w:rsidR="00FB58A3" w:rsidRDefault="00FB58A3" w:rsidP="00CF766E">
      <w:pPr>
        <w:pStyle w:val="ListParagraph"/>
        <w:ind w:left="360"/>
      </w:pPr>
      <w:r>
        <w:t xml:space="preserve">The first step in any statistical analysis is to </w:t>
      </w:r>
      <w:r w:rsidR="00CA7F87">
        <w:t>quickly graph</w:t>
      </w:r>
      <w:r>
        <w:t xml:space="preserve"> one’s data.  Plot the time series and look for patterns and outliers. It </w:t>
      </w:r>
      <w:r w:rsidR="00EA553C">
        <w:t xml:space="preserve">can be beneficial </w:t>
      </w:r>
      <w:r>
        <w:t>to get an early, intuitive sense of what the data reveal before one gets bogged down in statistical computations.</w:t>
      </w:r>
    </w:p>
    <w:p w14:paraId="12777DD7" w14:textId="77777777" w:rsidR="00FB58A3" w:rsidRDefault="00FB58A3" w:rsidP="00CF766E">
      <w:pPr>
        <w:pStyle w:val="ListParagraph"/>
        <w:ind w:left="360"/>
      </w:pPr>
    </w:p>
    <w:p w14:paraId="0D23619F" w14:textId="609AE8A3" w:rsidR="00D4125F" w:rsidRDefault="00744745" w:rsidP="00CF766E">
      <w:pPr>
        <w:pStyle w:val="ListParagraph"/>
        <w:ind w:left="360"/>
      </w:pPr>
      <w:r>
        <w:t xml:space="preserve">Market integration can be assessed quickly and easily by </w:t>
      </w:r>
      <w:r w:rsidR="00EA553C">
        <w:t xml:space="preserve">analyzing </w:t>
      </w:r>
      <w:r>
        <w:t>price time series from different markets</w:t>
      </w:r>
      <w:r w:rsidR="00FB58A3">
        <w:t xml:space="preserve"> and looking for common patterns. Note that </w:t>
      </w:r>
      <w:r w:rsidR="00D4125F">
        <w:t xml:space="preserve">the </w:t>
      </w:r>
      <w:r w:rsidR="00FB58A3">
        <w:t xml:space="preserve">simple bivariate correlation coefficient </w:t>
      </w:r>
      <w:r w:rsidR="00D4125F">
        <w:t>between prices in two markets (</w:t>
      </w:r>
      <w:r w:rsidR="009124FC">
        <w:t>1 and 2</w:t>
      </w:r>
      <w:r w:rsidR="00D4125F">
        <w:t xml:space="preserve">) – </w:t>
      </w:r>
      <w:r w:rsidR="00FB58A3">
        <w:t>ρ</w:t>
      </w:r>
      <w:r w:rsidR="00D4125F">
        <w:t>=</w:t>
      </w:r>
      <w:proofErr w:type="gramStart"/>
      <w:r w:rsidR="00D4125F">
        <w:t>COV(</w:t>
      </w:r>
      <w:proofErr w:type="gramEnd"/>
      <w:r w:rsidR="00D4125F">
        <w:t>p</w:t>
      </w:r>
      <w:r w:rsidR="009124FC">
        <w:rPr>
          <w:vertAlign w:val="superscript"/>
        </w:rPr>
        <w:t>1</w:t>
      </w:r>
      <w:r w:rsidR="00D4125F">
        <w:t>,p</w:t>
      </w:r>
      <w:r w:rsidR="009124FC">
        <w:rPr>
          <w:vertAlign w:val="superscript"/>
        </w:rPr>
        <w:t>2</w:t>
      </w:r>
      <w:r w:rsidR="00D4125F">
        <w:t>)/STD(p</w:t>
      </w:r>
      <w:r w:rsidR="009124FC">
        <w:rPr>
          <w:vertAlign w:val="superscript"/>
        </w:rPr>
        <w:t>1</w:t>
      </w:r>
      <w:r w:rsidR="00D4125F">
        <w:t>) STD(p</w:t>
      </w:r>
      <w:r w:rsidR="009124FC">
        <w:rPr>
          <w:vertAlign w:val="superscript"/>
        </w:rPr>
        <w:t>2</w:t>
      </w:r>
      <w:r w:rsidR="00D4125F">
        <w:t xml:space="preserve">) – is a widely used but deeply flawed indicator. </w:t>
      </w:r>
      <w:r w:rsidR="00BB5E2D">
        <w:t>I</w:t>
      </w:r>
      <w:r w:rsidR="00D4125F">
        <w:t xml:space="preserve">t tends to overstate market integration by conflating the presence of a common trend – due to generalized inflation in the economy, seasonality patterns, etc. – with price </w:t>
      </w:r>
      <w:proofErr w:type="spellStart"/>
      <w:r w:rsidR="00D4125F">
        <w:t>comovement</w:t>
      </w:r>
      <w:proofErr w:type="spellEnd"/>
      <w:r w:rsidR="00D4125F">
        <w:t xml:space="preserve"> due to market </w:t>
      </w:r>
      <w:proofErr w:type="spellStart"/>
      <w:r w:rsidR="00D4125F">
        <w:t>interlinkage</w:t>
      </w:r>
      <w:proofErr w:type="spellEnd"/>
      <w:r w:rsidR="00D4125F">
        <w:t xml:space="preserve"> through trade or information flows.  </w:t>
      </w:r>
    </w:p>
    <w:p w14:paraId="2164D34D" w14:textId="77777777" w:rsidR="00D4125F" w:rsidRDefault="00D4125F" w:rsidP="00CF766E">
      <w:pPr>
        <w:pStyle w:val="ListParagraph"/>
        <w:ind w:left="360"/>
      </w:pPr>
    </w:p>
    <w:p w14:paraId="340AEFD7" w14:textId="5ADF9AD5" w:rsidR="00205A9F" w:rsidRDefault="00D4125F" w:rsidP="00CF766E">
      <w:pPr>
        <w:pStyle w:val="ListParagraph"/>
        <w:ind w:left="360"/>
      </w:pPr>
      <w:r>
        <w:lastRenderedPageBreak/>
        <w:t xml:space="preserve">Instead, </w:t>
      </w:r>
      <w:proofErr w:type="spellStart"/>
      <w:r>
        <w:t>d</w:t>
      </w:r>
      <w:r w:rsidR="00744745">
        <w:t>etrend</w:t>
      </w:r>
      <w:proofErr w:type="spellEnd"/>
      <w:r w:rsidR="00744745">
        <w:t xml:space="preserve"> the</w:t>
      </w:r>
      <w:r>
        <w:t xml:space="preserve"> price series for general inflation </w:t>
      </w:r>
      <w:r w:rsidR="00744745">
        <w:t xml:space="preserve">using the national </w:t>
      </w:r>
      <w:r>
        <w:t>c</w:t>
      </w:r>
      <w:r w:rsidR="00744745">
        <w:t>onsumer price index</w:t>
      </w:r>
      <w:r w:rsidR="002D1168">
        <w:t xml:space="preserve"> (CPI)</w:t>
      </w:r>
      <w:r w:rsidR="00744745">
        <w:t xml:space="preserve"> available from the Central Bank or most statistical or donor agencies</w:t>
      </w:r>
      <w:r w:rsidR="00B50C87">
        <w:t xml:space="preserve">. </w:t>
      </w:r>
      <w:proofErr w:type="spellStart"/>
      <w:r w:rsidR="00B50C87">
        <w:t>Detrending</w:t>
      </w:r>
      <w:proofErr w:type="spellEnd"/>
      <w:r w:rsidR="00B50C87">
        <w:t xml:space="preserve"> price series means removing correlation across price series due to a common factor, such as inflation. The simplest way to </w:t>
      </w:r>
      <w:proofErr w:type="spellStart"/>
      <w:r w:rsidR="00B50C87">
        <w:t>detrend</w:t>
      </w:r>
      <w:proofErr w:type="spellEnd"/>
      <w:r w:rsidR="00B50C87">
        <w:t xml:space="preserve"> data is to take the first difference</w:t>
      </w:r>
      <w:r w:rsidR="00744745">
        <w:t xml:space="preserve"> by subtracting one month’s price from the previous month’s price</w:t>
      </w:r>
      <w:r w:rsidR="00205A9F">
        <w:t xml:space="preserve"> and then correlating </w:t>
      </w:r>
      <w:r w:rsidR="00205A9F" w:rsidRPr="00205A9F">
        <w:rPr>
          <w:lang w:val="el-GR"/>
        </w:rPr>
        <w:t>Δ</w:t>
      </w:r>
      <w:r w:rsidR="00205A9F" w:rsidRPr="00205A9F">
        <w:t>p</w:t>
      </w:r>
      <w:r w:rsidR="00205A9F" w:rsidRPr="00205A9F">
        <w:rPr>
          <w:vertAlign w:val="superscript"/>
        </w:rPr>
        <w:t xml:space="preserve">1 </w:t>
      </w:r>
      <w:r w:rsidR="00205A9F" w:rsidRPr="00205A9F">
        <w:t xml:space="preserve">and </w:t>
      </w:r>
      <w:r w:rsidR="00205A9F" w:rsidRPr="00205A9F">
        <w:rPr>
          <w:lang w:val="el-GR"/>
        </w:rPr>
        <w:t>Δ</w:t>
      </w:r>
      <w:r w:rsidR="00205A9F" w:rsidRPr="00205A9F">
        <w:t>p</w:t>
      </w:r>
      <w:r w:rsidR="00205A9F" w:rsidRPr="00205A9F">
        <w:rPr>
          <w:vertAlign w:val="superscript"/>
        </w:rPr>
        <w:t>2</w:t>
      </w:r>
      <w:r w:rsidR="00205A9F" w:rsidRPr="00205A9F">
        <w:t xml:space="preserve"> instead of </w:t>
      </w:r>
      <w:r w:rsidR="00205A9F">
        <w:t xml:space="preserve">price </w:t>
      </w:r>
      <w:r w:rsidR="00205A9F" w:rsidRPr="00205A9F">
        <w:t>levels</w:t>
      </w:r>
      <w:r w:rsidR="00744745">
        <w:t xml:space="preserve">. </w:t>
      </w:r>
      <w:r w:rsidR="002D1168">
        <w:t>The year when a CPI=100 is referred to as a base year. Adjusting prices in other years by multiplying the current year price times the base year CPI dividing by the current year CPI is the price in base-year money.  For example, assume the base year is 2005 and the CPI in 2005 is 100. In 2010, the CPI is 150. If maize is $400 per metric ton in 2010, and the cost of a metric ton of maize purchased in 2010 in 2005 dollars is $267.</w:t>
      </w:r>
    </w:p>
    <w:p w14:paraId="229FCDCB" w14:textId="77777777" w:rsidR="00205A9F" w:rsidRDefault="00205A9F" w:rsidP="00CF766E">
      <w:pPr>
        <w:pStyle w:val="ListParagraph"/>
        <w:ind w:left="360"/>
      </w:pPr>
    </w:p>
    <w:p w14:paraId="67A6B18C" w14:textId="77777777" w:rsidR="00D4125F" w:rsidRDefault="00744745" w:rsidP="00CF766E">
      <w:pPr>
        <w:pStyle w:val="ListParagraph"/>
        <w:ind w:left="360"/>
      </w:pPr>
      <w:r>
        <w:t>To correct for the effects of common seasonality</w:t>
      </w:r>
      <w:r w:rsidR="00205A9F">
        <w:t xml:space="preserve">, </w:t>
      </w:r>
      <w:r>
        <w:t xml:space="preserve">compute an index for each month, lumping all locations’ prices and years together, and then deflate each observation by the appropriate month’s index. The </w:t>
      </w:r>
      <w:proofErr w:type="spellStart"/>
      <w:r>
        <w:t>detrending</w:t>
      </w:r>
      <w:proofErr w:type="spellEnd"/>
      <w:r>
        <w:t xml:space="preserve"> is important so as to remove spurious correlation due to general macroeconomic conditions and seasonality common to all markets under study.  </w:t>
      </w:r>
    </w:p>
    <w:p w14:paraId="00F628AC" w14:textId="77777777" w:rsidR="00D4125F" w:rsidRDefault="00D4125F" w:rsidP="00CF766E">
      <w:pPr>
        <w:pStyle w:val="ListParagraph"/>
        <w:ind w:left="360"/>
      </w:pPr>
    </w:p>
    <w:p w14:paraId="7E82F5AB" w14:textId="67BC66FA" w:rsidR="00744745" w:rsidRDefault="00D4125F" w:rsidP="00CF766E">
      <w:pPr>
        <w:pStyle w:val="ListParagraph"/>
        <w:ind w:left="360"/>
      </w:pPr>
      <w:r>
        <w:t xml:space="preserve">Having </w:t>
      </w:r>
      <w:proofErr w:type="spellStart"/>
      <w:r>
        <w:t>detrended</w:t>
      </w:r>
      <w:proofErr w:type="spellEnd"/>
      <w:r w:rsidR="00205A9F">
        <w:t xml:space="preserve"> and </w:t>
      </w:r>
      <w:proofErr w:type="spellStart"/>
      <w:r w:rsidR="00205A9F">
        <w:t>deseasonalized</w:t>
      </w:r>
      <w:proofErr w:type="spellEnd"/>
      <w:r>
        <w:t xml:space="preserve"> the data, p</w:t>
      </w:r>
      <w:r w:rsidR="00744745">
        <w:t xml:space="preserve">lot the series </w:t>
      </w:r>
      <w:r>
        <w:t>to get</w:t>
      </w:r>
      <w:r w:rsidR="00744745">
        <w:t xml:space="preserve"> a good visual depiction of the price series’ relationship.  If the prices commove closely (i.e., the series move parallel to one another), this signals close price correspondence irrespective of inflation and seasonality and serves as a strong, albeit casual, indicator of likely market integration. </w:t>
      </w:r>
      <w:r>
        <w:t>Th</w:t>
      </w:r>
      <w:r w:rsidR="00744745">
        <w:t xml:space="preserve">e bivariate correlation coefficient </w:t>
      </w:r>
      <w:r>
        <w:t xml:space="preserve">among </w:t>
      </w:r>
      <w:proofErr w:type="spellStart"/>
      <w:r>
        <w:t>detrended</w:t>
      </w:r>
      <w:proofErr w:type="spellEnd"/>
      <w:r w:rsidR="00AC0510">
        <w:t xml:space="preserve">, </w:t>
      </w:r>
      <w:proofErr w:type="spellStart"/>
      <w:r w:rsidR="00AC0510">
        <w:t>deseasonalized</w:t>
      </w:r>
      <w:proofErr w:type="spellEnd"/>
      <w:r>
        <w:t xml:space="preserve"> series provides a decent indicator of market integration. </w:t>
      </w:r>
      <w:proofErr w:type="spellStart"/>
      <w:r w:rsidR="00744745">
        <w:t>Timmer</w:t>
      </w:r>
      <w:proofErr w:type="spellEnd"/>
      <w:r w:rsidR="00744745">
        <w:t xml:space="preserve"> et al. (1983</w:t>
      </w:r>
      <w:r w:rsidR="00AC6426">
        <w:t>, p. 21</w:t>
      </w:r>
      <w:r w:rsidR="00744745">
        <w:t>) suggest that 90% is a good measure for “high” correla</w:t>
      </w:r>
      <w:r>
        <w:t xml:space="preserve">tion of prices between markets, although there is no magic cut-off point.   </w:t>
      </w:r>
    </w:p>
    <w:p w14:paraId="0117A141" w14:textId="77777777" w:rsidR="00205A9F" w:rsidRDefault="00205A9F" w:rsidP="00CF766E">
      <w:pPr>
        <w:pStyle w:val="ListParagraph"/>
        <w:ind w:left="360"/>
      </w:pPr>
    </w:p>
    <w:p w14:paraId="0291EA7F" w14:textId="18E2B58B" w:rsidR="00205A9F" w:rsidRDefault="00205A9F" w:rsidP="00CF766E">
      <w:pPr>
        <w:pStyle w:val="ListParagraph"/>
        <w:ind w:left="360"/>
      </w:pPr>
      <w:r>
        <w:t xml:space="preserve">Where price series are available from multiple markets, it helps to generate the full matrix of these correlations. This </w:t>
      </w:r>
      <w:r w:rsidR="007F5EF3">
        <w:t xml:space="preserve">process </w:t>
      </w:r>
      <w:r>
        <w:t>can highlight where market integration is especially strong and places that may be more segmented from central markets and thus may need somewhat different responses. The table below reports a sample matrix of bivariate correlation coefficients among Malawian markets, based on first-differenced price series (from Barrett et al. Food Security 2009).</w:t>
      </w:r>
    </w:p>
    <w:p w14:paraId="32DDC03D" w14:textId="77777777" w:rsidR="007F5EF3" w:rsidRDefault="007F5EF3" w:rsidP="00CF766E">
      <w:pPr>
        <w:pStyle w:val="ListParagraph"/>
        <w:ind w:left="360"/>
      </w:pPr>
    </w:p>
    <w:p w14:paraId="0024A8AF" w14:textId="77777777" w:rsidR="00205A9F" w:rsidRDefault="00205A9F" w:rsidP="00205A9F">
      <w:pPr>
        <w:jc w:val="center"/>
        <w:rPr>
          <w:b/>
        </w:rPr>
      </w:pPr>
      <w:proofErr w:type="spellStart"/>
      <w:r w:rsidRPr="000428D6">
        <w:rPr>
          <w:b/>
        </w:rPr>
        <w:t>Kasungu</w:t>
      </w:r>
      <w:proofErr w:type="spellEnd"/>
      <w:r w:rsidRPr="000428D6">
        <w:rPr>
          <w:b/>
        </w:rPr>
        <w:t>-Lilongwe Plains Livelihood Zone Price Correlation</w:t>
      </w:r>
      <w:r>
        <w:rPr>
          <w:b/>
        </w:rPr>
        <w:t>s</w:t>
      </w:r>
    </w:p>
    <w:tbl>
      <w:tblPr>
        <w:tblW w:w="6660" w:type="dxa"/>
        <w:jc w:val="center"/>
        <w:tblLook w:val="0000" w:firstRow="0" w:lastRow="0" w:firstColumn="0" w:lastColumn="0" w:noHBand="0" w:noVBand="0"/>
      </w:tblPr>
      <w:tblGrid>
        <w:gridCol w:w="1220"/>
        <w:gridCol w:w="1390"/>
        <w:gridCol w:w="1260"/>
        <w:gridCol w:w="1350"/>
        <w:gridCol w:w="1440"/>
      </w:tblGrid>
      <w:tr w:rsidR="00205A9F" w:rsidRPr="000428D6" w14:paraId="616F4682" w14:textId="77777777">
        <w:trPr>
          <w:trHeight w:val="260"/>
          <w:jc w:val="center"/>
        </w:trPr>
        <w:tc>
          <w:tcPr>
            <w:tcW w:w="1220" w:type="dxa"/>
            <w:tcBorders>
              <w:top w:val="single" w:sz="8" w:space="0" w:color="auto"/>
              <w:left w:val="nil"/>
              <w:bottom w:val="single" w:sz="4" w:space="0" w:color="auto"/>
              <w:right w:val="nil"/>
            </w:tcBorders>
            <w:noWrap/>
            <w:vAlign w:val="bottom"/>
          </w:tcPr>
          <w:p w14:paraId="1967F577" w14:textId="77777777" w:rsidR="00205A9F" w:rsidRPr="000428D6" w:rsidRDefault="00205A9F" w:rsidP="00205A9F">
            <w:pPr>
              <w:jc w:val="center"/>
              <w:rPr>
                <w:rFonts w:ascii="Helvetica" w:hAnsi="Helvetica"/>
                <w:i/>
                <w:sz w:val="20"/>
                <w:szCs w:val="20"/>
              </w:rPr>
            </w:pPr>
            <w:r w:rsidRPr="000428D6">
              <w:rPr>
                <w:i/>
                <w:sz w:val="20"/>
                <w:szCs w:val="20"/>
              </w:rPr>
              <w:t> </w:t>
            </w:r>
          </w:p>
        </w:tc>
        <w:tc>
          <w:tcPr>
            <w:tcW w:w="1390" w:type="dxa"/>
            <w:tcBorders>
              <w:top w:val="single" w:sz="8" w:space="0" w:color="auto"/>
              <w:left w:val="nil"/>
              <w:bottom w:val="single" w:sz="4" w:space="0" w:color="auto"/>
              <w:right w:val="nil"/>
            </w:tcBorders>
            <w:noWrap/>
            <w:vAlign w:val="bottom"/>
          </w:tcPr>
          <w:p w14:paraId="444094AF" w14:textId="77777777" w:rsidR="00205A9F" w:rsidRPr="000428D6" w:rsidRDefault="00205A9F" w:rsidP="00205A9F">
            <w:pPr>
              <w:jc w:val="center"/>
              <w:rPr>
                <w:rFonts w:ascii="Helvetica" w:hAnsi="Helvetica"/>
                <w:i/>
                <w:sz w:val="20"/>
                <w:szCs w:val="20"/>
              </w:rPr>
            </w:pPr>
            <w:r w:rsidRPr="000428D6">
              <w:rPr>
                <w:i/>
                <w:sz w:val="20"/>
                <w:szCs w:val="20"/>
              </w:rPr>
              <w:t>Lilongwe</w:t>
            </w:r>
          </w:p>
        </w:tc>
        <w:tc>
          <w:tcPr>
            <w:tcW w:w="1260" w:type="dxa"/>
            <w:tcBorders>
              <w:top w:val="single" w:sz="8" w:space="0" w:color="auto"/>
              <w:left w:val="nil"/>
              <w:bottom w:val="single" w:sz="4" w:space="0" w:color="auto"/>
              <w:right w:val="nil"/>
            </w:tcBorders>
            <w:noWrap/>
            <w:vAlign w:val="bottom"/>
          </w:tcPr>
          <w:p w14:paraId="7C94E1D8" w14:textId="77777777" w:rsidR="00205A9F" w:rsidRPr="000428D6" w:rsidRDefault="00205A9F" w:rsidP="00205A9F">
            <w:pPr>
              <w:jc w:val="center"/>
              <w:rPr>
                <w:rFonts w:ascii="Helvetica" w:hAnsi="Helvetica"/>
                <w:i/>
                <w:sz w:val="20"/>
                <w:szCs w:val="20"/>
              </w:rPr>
            </w:pPr>
            <w:r w:rsidRPr="000428D6">
              <w:rPr>
                <w:i/>
                <w:sz w:val="20"/>
                <w:szCs w:val="20"/>
              </w:rPr>
              <w:t>Dowa</w:t>
            </w:r>
          </w:p>
        </w:tc>
        <w:tc>
          <w:tcPr>
            <w:tcW w:w="1350" w:type="dxa"/>
            <w:tcBorders>
              <w:top w:val="single" w:sz="8" w:space="0" w:color="auto"/>
              <w:left w:val="nil"/>
              <w:bottom w:val="single" w:sz="4" w:space="0" w:color="auto"/>
              <w:right w:val="nil"/>
            </w:tcBorders>
            <w:noWrap/>
            <w:vAlign w:val="bottom"/>
          </w:tcPr>
          <w:p w14:paraId="76A91526" w14:textId="77777777" w:rsidR="00205A9F" w:rsidRPr="000428D6" w:rsidRDefault="00205A9F" w:rsidP="00205A9F">
            <w:pPr>
              <w:jc w:val="center"/>
              <w:rPr>
                <w:rFonts w:ascii="Helvetica" w:hAnsi="Helvetica"/>
                <w:i/>
                <w:sz w:val="20"/>
                <w:szCs w:val="20"/>
              </w:rPr>
            </w:pPr>
            <w:proofErr w:type="spellStart"/>
            <w:r w:rsidRPr="000428D6">
              <w:rPr>
                <w:i/>
                <w:sz w:val="20"/>
                <w:szCs w:val="20"/>
              </w:rPr>
              <w:t>Ntchisi</w:t>
            </w:r>
            <w:proofErr w:type="spellEnd"/>
          </w:p>
        </w:tc>
        <w:tc>
          <w:tcPr>
            <w:tcW w:w="1440" w:type="dxa"/>
            <w:tcBorders>
              <w:top w:val="single" w:sz="8" w:space="0" w:color="auto"/>
              <w:left w:val="nil"/>
              <w:bottom w:val="single" w:sz="4" w:space="0" w:color="auto"/>
              <w:right w:val="nil"/>
            </w:tcBorders>
            <w:noWrap/>
            <w:vAlign w:val="bottom"/>
          </w:tcPr>
          <w:p w14:paraId="4F9D5268" w14:textId="77777777" w:rsidR="00205A9F" w:rsidRPr="000428D6" w:rsidRDefault="00205A9F" w:rsidP="00205A9F">
            <w:pPr>
              <w:jc w:val="center"/>
              <w:rPr>
                <w:rFonts w:ascii="Helvetica" w:hAnsi="Helvetica"/>
                <w:i/>
                <w:sz w:val="20"/>
                <w:szCs w:val="20"/>
              </w:rPr>
            </w:pPr>
            <w:proofErr w:type="spellStart"/>
            <w:r w:rsidRPr="000428D6">
              <w:rPr>
                <w:i/>
                <w:sz w:val="20"/>
                <w:szCs w:val="20"/>
              </w:rPr>
              <w:t>Kasungu</w:t>
            </w:r>
            <w:proofErr w:type="spellEnd"/>
          </w:p>
        </w:tc>
      </w:tr>
      <w:tr w:rsidR="00205A9F" w:rsidRPr="000428D6" w14:paraId="640CF356" w14:textId="77777777">
        <w:trPr>
          <w:trHeight w:val="260"/>
          <w:jc w:val="center"/>
        </w:trPr>
        <w:tc>
          <w:tcPr>
            <w:tcW w:w="1220" w:type="dxa"/>
            <w:tcBorders>
              <w:top w:val="nil"/>
              <w:left w:val="nil"/>
              <w:bottom w:val="nil"/>
              <w:right w:val="nil"/>
            </w:tcBorders>
            <w:noWrap/>
            <w:vAlign w:val="bottom"/>
          </w:tcPr>
          <w:p w14:paraId="04F0C432" w14:textId="77777777" w:rsidR="00205A9F" w:rsidRPr="000428D6" w:rsidRDefault="00205A9F" w:rsidP="00205A9F">
            <w:pPr>
              <w:rPr>
                <w:rFonts w:ascii="Helvetica" w:hAnsi="Helvetica"/>
                <w:sz w:val="20"/>
                <w:szCs w:val="20"/>
              </w:rPr>
            </w:pPr>
            <w:r w:rsidRPr="000428D6">
              <w:rPr>
                <w:sz w:val="20"/>
                <w:szCs w:val="20"/>
              </w:rPr>
              <w:t>Dowa</w:t>
            </w:r>
          </w:p>
        </w:tc>
        <w:tc>
          <w:tcPr>
            <w:tcW w:w="1390" w:type="dxa"/>
            <w:tcBorders>
              <w:top w:val="nil"/>
              <w:left w:val="nil"/>
              <w:bottom w:val="nil"/>
              <w:right w:val="nil"/>
            </w:tcBorders>
            <w:noWrap/>
            <w:vAlign w:val="bottom"/>
          </w:tcPr>
          <w:p w14:paraId="23A352E9" w14:textId="77777777" w:rsidR="00205A9F" w:rsidRPr="000428D6" w:rsidRDefault="00205A9F" w:rsidP="00205A9F">
            <w:pPr>
              <w:jc w:val="right"/>
              <w:rPr>
                <w:rFonts w:ascii="Helvetica" w:hAnsi="Helvetica"/>
                <w:sz w:val="20"/>
                <w:szCs w:val="20"/>
              </w:rPr>
            </w:pPr>
            <w:r w:rsidRPr="000428D6">
              <w:rPr>
                <w:sz w:val="20"/>
                <w:szCs w:val="20"/>
              </w:rPr>
              <w:t xml:space="preserve">0.88 </w:t>
            </w:r>
          </w:p>
        </w:tc>
        <w:tc>
          <w:tcPr>
            <w:tcW w:w="1260" w:type="dxa"/>
            <w:tcBorders>
              <w:top w:val="nil"/>
              <w:left w:val="nil"/>
              <w:bottom w:val="nil"/>
              <w:right w:val="nil"/>
            </w:tcBorders>
            <w:noWrap/>
            <w:vAlign w:val="bottom"/>
          </w:tcPr>
          <w:p w14:paraId="4BB07695" w14:textId="77777777" w:rsidR="00205A9F" w:rsidRPr="000428D6" w:rsidRDefault="00205A9F" w:rsidP="00205A9F">
            <w:pPr>
              <w:jc w:val="right"/>
              <w:rPr>
                <w:rFonts w:ascii="Helvetica" w:hAnsi="Helvetica"/>
                <w:sz w:val="20"/>
                <w:szCs w:val="20"/>
              </w:rPr>
            </w:pPr>
          </w:p>
        </w:tc>
        <w:tc>
          <w:tcPr>
            <w:tcW w:w="1350" w:type="dxa"/>
            <w:tcBorders>
              <w:top w:val="nil"/>
              <w:left w:val="nil"/>
              <w:bottom w:val="nil"/>
              <w:right w:val="nil"/>
            </w:tcBorders>
            <w:noWrap/>
            <w:vAlign w:val="bottom"/>
          </w:tcPr>
          <w:p w14:paraId="4BC205F9" w14:textId="77777777" w:rsidR="00205A9F" w:rsidRPr="000428D6" w:rsidRDefault="00205A9F" w:rsidP="00205A9F">
            <w:pPr>
              <w:rPr>
                <w:rFonts w:ascii="Helvetica" w:hAnsi="Helvetica"/>
                <w:sz w:val="20"/>
                <w:szCs w:val="20"/>
              </w:rPr>
            </w:pPr>
          </w:p>
        </w:tc>
        <w:tc>
          <w:tcPr>
            <w:tcW w:w="1440" w:type="dxa"/>
            <w:tcBorders>
              <w:top w:val="nil"/>
              <w:left w:val="nil"/>
              <w:bottom w:val="nil"/>
              <w:right w:val="nil"/>
            </w:tcBorders>
            <w:noWrap/>
            <w:vAlign w:val="bottom"/>
          </w:tcPr>
          <w:p w14:paraId="6D6C051C" w14:textId="77777777" w:rsidR="00205A9F" w:rsidRPr="000428D6" w:rsidRDefault="00205A9F" w:rsidP="00205A9F">
            <w:pPr>
              <w:rPr>
                <w:rFonts w:ascii="Helvetica" w:hAnsi="Helvetica"/>
                <w:sz w:val="20"/>
                <w:szCs w:val="20"/>
              </w:rPr>
            </w:pPr>
          </w:p>
        </w:tc>
      </w:tr>
      <w:tr w:rsidR="00205A9F" w:rsidRPr="000428D6" w14:paraId="29C3FE7A" w14:textId="77777777">
        <w:trPr>
          <w:trHeight w:val="260"/>
          <w:jc w:val="center"/>
        </w:trPr>
        <w:tc>
          <w:tcPr>
            <w:tcW w:w="1220" w:type="dxa"/>
            <w:tcBorders>
              <w:top w:val="nil"/>
              <w:left w:val="nil"/>
              <w:bottom w:val="nil"/>
              <w:right w:val="nil"/>
            </w:tcBorders>
            <w:noWrap/>
            <w:vAlign w:val="bottom"/>
          </w:tcPr>
          <w:p w14:paraId="5FE0274C" w14:textId="77777777" w:rsidR="00205A9F" w:rsidRPr="000428D6" w:rsidRDefault="00205A9F" w:rsidP="00205A9F">
            <w:pPr>
              <w:rPr>
                <w:rFonts w:ascii="Helvetica" w:hAnsi="Helvetica"/>
                <w:sz w:val="20"/>
                <w:szCs w:val="20"/>
              </w:rPr>
            </w:pPr>
            <w:proofErr w:type="spellStart"/>
            <w:r w:rsidRPr="000428D6">
              <w:rPr>
                <w:sz w:val="20"/>
                <w:szCs w:val="20"/>
              </w:rPr>
              <w:t>Ntchisi</w:t>
            </w:r>
            <w:proofErr w:type="spellEnd"/>
          </w:p>
        </w:tc>
        <w:tc>
          <w:tcPr>
            <w:tcW w:w="1390" w:type="dxa"/>
            <w:tcBorders>
              <w:top w:val="nil"/>
              <w:left w:val="nil"/>
              <w:bottom w:val="nil"/>
              <w:right w:val="nil"/>
            </w:tcBorders>
            <w:noWrap/>
            <w:vAlign w:val="bottom"/>
          </w:tcPr>
          <w:p w14:paraId="35506E85" w14:textId="77777777" w:rsidR="00205A9F" w:rsidRPr="000428D6" w:rsidRDefault="00205A9F" w:rsidP="00205A9F">
            <w:pPr>
              <w:jc w:val="right"/>
              <w:rPr>
                <w:rFonts w:ascii="Helvetica" w:hAnsi="Helvetica"/>
                <w:sz w:val="20"/>
                <w:szCs w:val="20"/>
              </w:rPr>
            </w:pPr>
            <w:r w:rsidRPr="000428D6">
              <w:rPr>
                <w:sz w:val="20"/>
                <w:szCs w:val="20"/>
              </w:rPr>
              <w:t xml:space="preserve">0.69 </w:t>
            </w:r>
          </w:p>
        </w:tc>
        <w:tc>
          <w:tcPr>
            <w:tcW w:w="1260" w:type="dxa"/>
            <w:tcBorders>
              <w:top w:val="nil"/>
              <w:left w:val="nil"/>
              <w:bottom w:val="nil"/>
              <w:right w:val="nil"/>
            </w:tcBorders>
            <w:noWrap/>
            <w:vAlign w:val="bottom"/>
          </w:tcPr>
          <w:p w14:paraId="69ACAAF9" w14:textId="77777777" w:rsidR="00205A9F" w:rsidRPr="000428D6" w:rsidRDefault="00205A9F" w:rsidP="00205A9F">
            <w:pPr>
              <w:jc w:val="right"/>
              <w:rPr>
                <w:rFonts w:ascii="Helvetica" w:hAnsi="Helvetica"/>
                <w:sz w:val="20"/>
                <w:szCs w:val="20"/>
              </w:rPr>
            </w:pPr>
            <w:r w:rsidRPr="000428D6">
              <w:rPr>
                <w:sz w:val="20"/>
                <w:szCs w:val="20"/>
              </w:rPr>
              <w:t xml:space="preserve">0.87 </w:t>
            </w:r>
          </w:p>
        </w:tc>
        <w:tc>
          <w:tcPr>
            <w:tcW w:w="1350" w:type="dxa"/>
            <w:tcBorders>
              <w:top w:val="nil"/>
              <w:left w:val="nil"/>
              <w:bottom w:val="nil"/>
              <w:right w:val="nil"/>
            </w:tcBorders>
            <w:noWrap/>
            <w:vAlign w:val="bottom"/>
          </w:tcPr>
          <w:p w14:paraId="2027F750" w14:textId="77777777" w:rsidR="00205A9F" w:rsidRPr="000428D6" w:rsidRDefault="00205A9F" w:rsidP="00205A9F">
            <w:pPr>
              <w:jc w:val="right"/>
              <w:rPr>
                <w:rFonts w:ascii="Helvetica" w:hAnsi="Helvetica"/>
                <w:sz w:val="20"/>
                <w:szCs w:val="20"/>
              </w:rPr>
            </w:pPr>
          </w:p>
        </w:tc>
        <w:tc>
          <w:tcPr>
            <w:tcW w:w="1440" w:type="dxa"/>
            <w:tcBorders>
              <w:top w:val="nil"/>
              <w:left w:val="nil"/>
              <w:bottom w:val="nil"/>
              <w:right w:val="nil"/>
            </w:tcBorders>
            <w:noWrap/>
            <w:vAlign w:val="bottom"/>
          </w:tcPr>
          <w:p w14:paraId="38477E45" w14:textId="77777777" w:rsidR="00205A9F" w:rsidRPr="000428D6" w:rsidRDefault="00205A9F" w:rsidP="00205A9F">
            <w:pPr>
              <w:rPr>
                <w:rFonts w:ascii="Helvetica" w:hAnsi="Helvetica"/>
                <w:sz w:val="20"/>
                <w:szCs w:val="20"/>
              </w:rPr>
            </w:pPr>
          </w:p>
        </w:tc>
      </w:tr>
      <w:tr w:rsidR="00205A9F" w:rsidRPr="000428D6" w14:paraId="2E4A7481" w14:textId="77777777">
        <w:trPr>
          <w:trHeight w:val="260"/>
          <w:jc w:val="center"/>
        </w:trPr>
        <w:tc>
          <w:tcPr>
            <w:tcW w:w="1220" w:type="dxa"/>
            <w:tcBorders>
              <w:top w:val="nil"/>
              <w:left w:val="nil"/>
              <w:bottom w:val="nil"/>
              <w:right w:val="nil"/>
            </w:tcBorders>
            <w:noWrap/>
            <w:vAlign w:val="bottom"/>
          </w:tcPr>
          <w:p w14:paraId="5F0646E4" w14:textId="77777777" w:rsidR="00205A9F" w:rsidRPr="000428D6" w:rsidRDefault="00205A9F" w:rsidP="00205A9F">
            <w:pPr>
              <w:rPr>
                <w:rFonts w:ascii="Helvetica" w:hAnsi="Helvetica"/>
                <w:sz w:val="20"/>
                <w:szCs w:val="20"/>
              </w:rPr>
            </w:pPr>
            <w:proofErr w:type="spellStart"/>
            <w:r w:rsidRPr="000428D6">
              <w:rPr>
                <w:sz w:val="20"/>
                <w:szCs w:val="20"/>
              </w:rPr>
              <w:t>Kasungu</w:t>
            </w:r>
            <w:proofErr w:type="spellEnd"/>
          </w:p>
        </w:tc>
        <w:tc>
          <w:tcPr>
            <w:tcW w:w="1390" w:type="dxa"/>
            <w:tcBorders>
              <w:top w:val="nil"/>
              <w:left w:val="nil"/>
              <w:bottom w:val="nil"/>
              <w:right w:val="nil"/>
            </w:tcBorders>
            <w:noWrap/>
            <w:vAlign w:val="bottom"/>
          </w:tcPr>
          <w:p w14:paraId="0EDA77FE" w14:textId="77777777" w:rsidR="00205A9F" w:rsidRPr="000428D6" w:rsidRDefault="00205A9F" w:rsidP="00205A9F">
            <w:pPr>
              <w:jc w:val="right"/>
              <w:rPr>
                <w:rFonts w:ascii="Helvetica" w:hAnsi="Helvetica"/>
                <w:sz w:val="20"/>
                <w:szCs w:val="20"/>
              </w:rPr>
            </w:pPr>
            <w:r w:rsidRPr="000428D6">
              <w:rPr>
                <w:sz w:val="20"/>
                <w:szCs w:val="20"/>
              </w:rPr>
              <w:t xml:space="preserve">0.68 </w:t>
            </w:r>
          </w:p>
        </w:tc>
        <w:tc>
          <w:tcPr>
            <w:tcW w:w="1260" w:type="dxa"/>
            <w:tcBorders>
              <w:top w:val="nil"/>
              <w:left w:val="nil"/>
              <w:bottom w:val="nil"/>
              <w:right w:val="nil"/>
            </w:tcBorders>
            <w:noWrap/>
            <w:vAlign w:val="bottom"/>
          </w:tcPr>
          <w:p w14:paraId="6E39F29C" w14:textId="77777777" w:rsidR="00205A9F" w:rsidRPr="000428D6" w:rsidRDefault="00205A9F" w:rsidP="00205A9F">
            <w:pPr>
              <w:jc w:val="right"/>
              <w:rPr>
                <w:rFonts w:ascii="Helvetica" w:hAnsi="Helvetica"/>
                <w:sz w:val="20"/>
                <w:szCs w:val="20"/>
              </w:rPr>
            </w:pPr>
            <w:r w:rsidRPr="000428D6">
              <w:rPr>
                <w:sz w:val="20"/>
                <w:szCs w:val="20"/>
              </w:rPr>
              <w:t xml:space="preserve">0.74 </w:t>
            </w:r>
          </w:p>
        </w:tc>
        <w:tc>
          <w:tcPr>
            <w:tcW w:w="1350" w:type="dxa"/>
            <w:tcBorders>
              <w:top w:val="nil"/>
              <w:left w:val="nil"/>
              <w:bottom w:val="nil"/>
              <w:right w:val="nil"/>
            </w:tcBorders>
            <w:noWrap/>
            <w:vAlign w:val="bottom"/>
          </w:tcPr>
          <w:p w14:paraId="401D325F" w14:textId="77777777" w:rsidR="00205A9F" w:rsidRPr="000428D6" w:rsidRDefault="00205A9F" w:rsidP="00205A9F">
            <w:pPr>
              <w:jc w:val="right"/>
              <w:rPr>
                <w:rFonts w:ascii="Helvetica" w:hAnsi="Helvetica"/>
                <w:sz w:val="20"/>
                <w:szCs w:val="20"/>
              </w:rPr>
            </w:pPr>
            <w:r w:rsidRPr="000428D6">
              <w:rPr>
                <w:sz w:val="20"/>
                <w:szCs w:val="20"/>
              </w:rPr>
              <w:t xml:space="preserve">0.84 </w:t>
            </w:r>
          </w:p>
        </w:tc>
        <w:tc>
          <w:tcPr>
            <w:tcW w:w="1440" w:type="dxa"/>
            <w:tcBorders>
              <w:top w:val="nil"/>
              <w:left w:val="nil"/>
              <w:bottom w:val="nil"/>
              <w:right w:val="nil"/>
            </w:tcBorders>
            <w:noWrap/>
            <w:vAlign w:val="bottom"/>
          </w:tcPr>
          <w:p w14:paraId="3B224F56" w14:textId="77777777" w:rsidR="00205A9F" w:rsidRPr="000428D6" w:rsidRDefault="00205A9F" w:rsidP="00205A9F">
            <w:pPr>
              <w:jc w:val="right"/>
              <w:rPr>
                <w:rFonts w:ascii="Helvetica" w:hAnsi="Helvetica"/>
                <w:sz w:val="20"/>
                <w:szCs w:val="20"/>
              </w:rPr>
            </w:pPr>
          </w:p>
        </w:tc>
      </w:tr>
      <w:tr w:rsidR="00205A9F" w:rsidRPr="000428D6" w14:paraId="00DA536A" w14:textId="77777777">
        <w:trPr>
          <w:trHeight w:val="280"/>
          <w:jc w:val="center"/>
        </w:trPr>
        <w:tc>
          <w:tcPr>
            <w:tcW w:w="1220" w:type="dxa"/>
            <w:tcBorders>
              <w:top w:val="nil"/>
              <w:left w:val="nil"/>
              <w:bottom w:val="single" w:sz="8" w:space="0" w:color="auto"/>
              <w:right w:val="nil"/>
            </w:tcBorders>
            <w:noWrap/>
            <w:vAlign w:val="bottom"/>
          </w:tcPr>
          <w:p w14:paraId="79643FAB" w14:textId="77777777" w:rsidR="00205A9F" w:rsidRPr="000428D6" w:rsidRDefault="00205A9F" w:rsidP="00205A9F">
            <w:pPr>
              <w:rPr>
                <w:rFonts w:ascii="Helvetica" w:hAnsi="Helvetica"/>
                <w:sz w:val="20"/>
                <w:szCs w:val="20"/>
              </w:rPr>
            </w:pPr>
            <w:proofErr w:type="spellStart"/>
            <w:r w:rsidRPr="000428D6">
              <w:rPr>
                <w:sz w:val="20"/>
                <w:szCs w:val="20"/>
              </w:rPr>
              <w:t>Mchinji</w:t>
            </w:r>
            <w:proofErr w:type="spellEnd"/>
          </w:p>
        </w:tc>
        <w:tc>
          <w:tcPr>
            <w:tcW w:w="1390" w:type="dxa"/>
            <w:tcBorders>
              <w:top w:val="nil"/>
              <w:left w:val="nil"/>
              <w:bottom w:val="single" w:sz="8" w:space="0" w:color="auto"/>
              <w:right w:val="nil"/>
            </w:tcBorders>
            <w:noWrap/>
            <w:vAlign w:val="bottom"/>
          </w:tcPr>
          <w:p w14:paraId="15EB75EA" w14:textId="77777777" w:rsidR="00205A9F" w:rsidRPr="000428D6" w:rsidRDefault="00205A9F" w:rsidP="00205A9F">
            <w:pPr>
              <w:jc w:val="right"/>
              <w:rPr>
                <w:rFonts w:ascii="Helvetica" w:hAnsi="Helvetica"/>
                <w:sz w:val="20"/>
                <w:szCs w:val="20"/>
              </w:rPr>
            </w:pPr>
            <w:r w:rsidRPr="000428D6">
              <w:rPr>
                <w:sz w:val="20"/>
                <w:szCs w:val="20"/>
              </w:rPr>
              <w:t xml:space="preserve">0.80 </w:t>
            </w:r>
          </w:p>
        </w:tc>
        <w:tc>
          <w:tcPr>
            <w:tcW w:w="1260" w:type="dxa"/>
            <w:tcBorders>
              <w:top w:val="nil"/>
              <w:left w:val="nil"/>
              <w:bottom w:val="single" w:sz="8" w:space="0" w:color="auto"/>
              <w:right w:val="nil"/>
            </w:tcBorders>
            <w:noWrap/>
            <w:vAlign w:val="bottom"/>
          </w:tcPr>
          <w:p w14:paraId="05174FFA" w14:textId="77777777" w:rsidR="00205A9F" w:rsidRPr="000428D6" w:rsidRDefault="00205A9F" w:rsidP="00205A9F">
            <w:pPr>
              <w:jc w:val="right"/>
              <w:rPr>
                <w:rFonts w:ascii="Helvetica" w:hAnsi="Helvetica"/>
                <w:sz w:val="20"/>
                <w:szCs w:val="20"/>
              </w:rPr>
            </w:pPr>
            <w:r w:rsidRPr="000428D6">
              <w:rPr>
                <w:sz w:val="20"/>
                <w:szCs w:val="20"/>
              </w:rPr>
              <w:t xml:space="preserve">0.83 </w:t>
            </w:r>
          </w:p>
        </w:tc>
        <w:tc>
          <w:tcPr>
            <w:tcW w:w="1350" w:type="dxa"/>
            <w:tcBorders>
              <w:top w:val="nil"/>
              <w:left w:val="nil"/>
              <w:bottom w:val="single" w:sz="8" w:space="0" w:color="auto"/>
              <w:right w:val="nil"/>
            </w:tcBorders>
            <w:noWrap/>
            <w:vAlign w:val="bottom"/>
          </w:tcPr>
          <w:p w14:paraId="6A63E59C" w14:textId="77777777" w:rsidR="00205A9F" w:rsidRPr="000428D6" w:rsidRDefault="00205A9F" w:rsidP="00205A9F">
            <w:pPr>
              <w:jc w:val="right"/>
              <w:rPr>
                <w:rFonts w:ascii="Helvetica" w:hAnsi="Helvetica"/>
                <w:sz w:val="20"/>
                <w:szCs w:val="20"/>
              </w:rPr>
            </w:pPr>
            <w:r w:rsidRPr="000428D6">
              <w:rPr>
                <w:sz w:val="20"/>
                <w:szCs w:val="20"/>
              </w:rPr>
              <w:t xml:space="preserve">0.79 </w:t>
            </w:r>
          </w:p>
        </w:tc>
        <w:tc>
          <w:tcPr>
            <w:tcW w:w="1440" w:type="dxa"/>
            <w:tcBorders>
              <w:top w:val="nil"/>
              <w:left w:val="nil"/>
              <w:bottom w:val="single" w:sz="8" w:space="0" w:color="auto"/>
              <w:right w:val="nil"/>
            </w:tcBorders>
            <w:noWrap/>
            <w:vAlign w:val="bottom"/>
          </w:tcPr>
          <w:p w14:paraId="156C8FEE" w14:textId="77777777" w:rsidR="00205A9F" w:rsidRPr="000428D6" w:rsidRDefault="00205A9F" w:rsidP="00205A9F">
            <w:pPr>
              <w:jc w:val="right"/>
              <w:rPr>
                <w:rFonts w:ascii="Helvetica" w:hAnsi="Helvetica"/>
                <w:sz w:val="20"/>
                <w:szCs w:val="20"/>
              </w:rPr>
            </w:pPr>
            <w:r w:rsidRPr="000428D6">
              <w:rPr>
                <w:sz w:val="20"/>
                <w:szCs w:val="20"/>
              </w:rPr>
              <w:t xml:space="preserve">0.77 </w:t>
            </w:r>
          </w:p>
        </w:tc>
      </w:tr>
    </w:tbl>
    <w:p w14:paraId="52BEB497" w14:textId="77777777" w:rsidR="0061386A" w:rsidRPr="00AC6426" w:rsidRDefault="0061386A" w:rsidP="0061386A">
      <w:pPr>
        <w:pStyle w:val="ListParagraph"/>
        <w:ind w:left="360"/>
        <w:rPr>
          <w:i/>
        </w:rPr>
      </w:pPr>
      <w:r>
        <w:t xml:space="preserve">Source: Barrett (2009), </w:t>
      </w:r>
      <w:r>
        <w:rPr>
          <w:i/>
        </w:rPr>
        <w:t>Food Security</w:t>
      </w:r>
    </w:p>
    <w:p w14:paraId="7922EFB4" w14:textId="77777777" w:rsidR="0061386A" w:rsidRDefault="0061386A" w:rsidP="00CF766E">
      <w:pPr>
        <w:pStyle w:val="ListParagraph"/>
        <w:ind w:left="360"/>
      </w:pPr>
    </w:p>
    <w:p w14:paraId="4C52B271" w14:textId="41C77224" w:rsidR="00744745" w:rsidRDefault="00D4125F" w:rsidP="00CF766E">
      <w:pPr>
        <w:pStyle w:val="ListParagraph"/>
        <w:ind w:left="360"/>
      </w:pPr>
      <w:r>
        <w:lastRenderedPageBreak/>
        <w:t>A somewhat more statistically sophisticated approach uses multivariate regression methods to control for multiple prospective confounding factors at once. Say one wants to control for seasonality</w:t>
      </w:r>
      <w:r w:rsidR="00B00C3B">
        <w:t xml:space="preserve"> (represented by 12 dummy variables, </w:t>
      </w:r>
      <w:proofErr w:type="spellStart"/>
      <w:r w:rsidR="00B00C3B">
        <w:t>d</w:t>
      </w:r>
      <w:r w:rsidR="00B00C3B">
        <w:rPr>
          <w:vertAlign w:val="subscript"/>
        </w:rPr>
        <w:t>m</w:t>
      </w:r>
      <w:proofErr w:type="spellEnd"/>
      <w:r w:rsidR="00AC0510">
        <w:t>, one per month</w:t>
      </w:r>
      <w:r w:rsidR="00B00C3B">
        <w:t>)</w:t>
      </w:r>
      <w:r>
        <w:t>, the general consumer price index (</w:t>
      </w:r>
      <w:r w:rsidR="00B00C3B">
        <w:t xml:space="preserve">CPI, </w:t>
      </w:r>
      <w:r>
        <w:t>capturing changes in the prices of substitute a</w:t>
      </w:r>
      <w:r w:rsidR="00853D4B">
        <w:t xml:space="preserve">nd complementary consumer goods), and the price of fuel as the main cost traders incur in moving commodity across space. The basic relationship </w:t>
      </w:r>
      <w:r w:rsidR="00B00C3B">
        <w:t>between the monthly price at time t in markets 1 and 2 can be written mathematically as</w:t>
      </w:r>
      <w:r w:rsidR="00853D4B">
        <w:t>:</w:t>
      </w:r>
    </w:p>
    <w:p w14:paraId="1B94822D" w14:textId="77777777" w:rsidR="009124FC" w:rsidRDefault="009124FC" w:rsidP="00CF766E">
      <w:pPr>
        <w:pStyle w:val="ListParagraph"/>
        <w:ind w:left="360"/>
      </w:pPr>
    </w:p>
    <w:p w14:paraId="2B52CC1E" w14:textId="2CB92624" w:rsidR="00CF766E" w:rsidRPr="00B00C3B" w:rsidRDefault="000F063B" w:rsidP="00B00C3B">
      <w:pPr>
        <w:pStyle w:val="ListParagraph"/>
        <w:tabs>
          <w:tab w:val="left" w:pos="360"/>
        </w:tabs>
        <w:ind w:left="360" w:hanging="2160"/>
        <w:jc w:val="center"/>
      </w:pPr>
      <m:oMath>
        <m:sSubSup>
          <m:sSubSupPr>
            <m:ctrlPr>
              <w:rPr>
                <w:rFonts w:ascii="Cambria Math" w:hAnsi="Cambria Math"/>
                <w:i/>
              </w:rPr>
            </m:ctrlPr>
          </m:sSubSupPr>
          <m:e>
            <m:r>
              <w:rPr>
                <w:rFonts w:ascii="Cambria Math" w:hAnsi="Cambria Math"/>
              </w:rPr>
              <m:t>p</m:t>
            </m:r>
          </m:e>
          <m:sub>
            <m:r>
              <w:rPr>
                <w:rFonts w:ascii="Cambria Math" w:hAnsi="Cambria Math"/>
              </w:rPr>
              <m:t>mt</m:t>
            </m:r>
          </m:sub>
          <m:sup>
            <m:r>
              <w:rPr>
                <w:rFonts w:ascii="Cambria Math" w:hAnsi="Cambria Math"/>
              </w:rPr>
              <m:t>1</m:t>
            </m:r>
          </m:sup>
        </m:sSubSup>
        <m:r>
          <w:rPr>
            <w:rFonts w:ascii="Cambria Math" w:hAnsi="Cambria Math"/>
          </w:rPr>
          <m:t>= β</m:t>
        </m:r>
        <m:sSub>
          <m:sSubPr>
            <m:ctrlPr>
              <w:rPr>
                <w:rFonts w:ascii="Cambria Math" w:hAnsi="Cambria Math"/>
                <w:i/>
              </w:rPr>
            </m:ctrlPr>
          </m:sSubPr>
          <m:e>
            <m:r>
              <w:rPr>
                <w:rFonts w:ascii="Cambria Math" w:hAnsi="Cambria Math"/>
              </w:rPr>
              <m:t>CPI</m:t>
            </m:r>
          </m:e>
          <m:sub>
            <m:r>
              <w:rPr>
                <w:rFonts w:ascii="Cambria Math" w:hAnsi="Cambria Math"/>
              </w:rPr>
              <m:t>t</m:t>
            </m:r>
          </m:sub>
        </m:sSub>
        <m:r>
          <w:rPr>
            <w:rFonts w:ascii="Cambria Math" w:hAnsi="Cambria Math"/>
          </w:rPr>
          <m:t>+</m:t>
        </m:r>
        <m:nary>
          <m:naryPr>
            <m:chr m:val="∑"/>
            <m:limLoc m:val="undOvr"/>
            <m:ctrlPr>
              <w:rPr>
                <w:rFonts w:ascii="Cambria Math" w:hAnsi="Cambria Math"/>
                <w:i/>
              </w:rPr>
            </m:ctrlPr>
          </m:naryPr>
          <m:sub>
            <m:r>
              <w:rPr>
                <w:rFonts w:ascii="Cambria Math" w:hAnsi="Cambria Math"/>
              </w:rPr>
              <m:t>m=1</m:t>
            </m:r>
          </m:sub>
          <m:sup>
            <m:r>
              <w:rPr>
                <w:rFonts w:ascii="Cambria Math" w:hAnsi="Cambria Math"/>
              </w:rPr>
              <m:t>12</m:t>
            </m:r>
          </m:sup>
          <m:e>
            <m:sSub>
              <m:sSubPr>
                <m:ctrlPr>
                  <w:rPr>
                    <w:rFonts w:ascii="Cambria Math" w:hAnsi="Cambria Math"/>
                    <w:i/>
                  </w:rPr>
                </m:ctrlPr>
              </m:sSubPr>
              <m:e>
                <m:sSub>
                  <m:sSubPr>
                    <m:ctrlPr>
                      <w:rPr>
                        <w:rFonts w:ascii="Cambria Math" w:hAnsi="Cambria Math"/>
                        <w:i/>
                        <w:iCs/>
                        <w:vertAlign w:val="subscript"/>
                      </w:rPr>
                    </m:ctrlPr>
                  </m:sSubPr>
                  <m:e>
                    <m:r>
                      <w:rPr>
                        <w:rFonts w:ascii="Cambria Math" w:hAnsi="Cambria Math"/>
                        <w:vertAlign w:val="subscript"/>
                      </w:rPr>
                      <m:t>ϕ</m:t>
                    </m:r>
                  </m:e>
                  <m:sub>
                    <m:r>
                      <w:rPr>
                        <w:rFonts w:ascii="Cambria Math" w:hAnsi="Cambria Math"/>
                        <w:vertAlign w:val="subscript"/>
                      </w:rPr>
                      <m:t>m</m:t>
                    </m:r>
                  </m:sub>
                </m:sSub>
                <m:r>
                  <w:rPr>
                    <w:rFonts w:ascii="Cambria Math" w:hAnsi="Cambria Math"/>
                  </w:rPr>
                  <m:t>d</m:t>
                </m:r>
              </m:e>
              <m:sub>
                <m:r>
                  <w:rPr>
                    <w:rFonts w:ascii="Cambria Math" w:hAnsi="Cambria Math"/>
                  </w:rPr>
                  <m:t>m</m:t>
                </m:r>
              </m:sub>
            </m:sSub>
          </m:e>
        </m:nary>
        <m:r>
          <w:rPr>
            <w:rFonts w:ascii="Cambria Math" w:hAnsi="Cambria Math"/>
          </w:rPr>
          <m:t>+δ</m:t>
        </m:r>
        <m:sSubSup>
          <m:sSubSupPr>
            <m:ctrlPr>
              <w:rPr>
                <w:rFonts w:ascii="Cambria Math" w:hAnsi="Cambria Math"/>
                <w:i/>
              </w:rPr>
            </m:ctrlPr>
          </m:sSubSupPr>
          <m:e>
            <m:r>
              <w:rPr>
                <w:rFonts w:ascii="Cambria Math" w:hAnsi="Cambria Math"/>
              </w:rPr>
              <m:t>p</m:t>
            </m:r>
          </m:e>
          <m:sub>
            <m:r>
              <w:rPr>
                <w:rFonts w:ascii="Cambria Math" w:hAnsi="Cambria Math"/>
              </w:rPr>
              <m:t>t</m:t>
            </m:r>
          </m:sub>
          <m:sup>
            <m:r>
              <w:rPr>
                <w:rFonts w:ascii="Cambria Math" w:hAnsi="Cambria Math"/>
              </w:rPr>
              <m:t>fuel</m:t>
            </m:r>
          </m:sup>
        </m:sSubSup>
        <m:r>
          <w:rPr>
            <w:rFonts w:ascii="Cambria Math" w:hAnsi="Cambria Math"/>
          </w:rPr>
          <m:t>+λ</m:t>
        </m:r>
        <m:sSubSup>
          <m:sSubSupPr>
            <m:ctrlPr>
              <w:rPr>
                <w:rFonts w:ascii="Cambria Math" w:hAnsi="Cambria Math"/>
                <w:i/>
              </w:rPr>
            </m:ctrlPr>
          </m:sSubSupPr>
          <m:e>
            <m:r>
              <w:rPr>
                <w:rFonts w:ascii="Cambria Math" w:hAnsi="Cambria Math"/>
              </w:rPr>
              <m:t>p</m:t>
            </m:r>
          </m:e>
          <m:sub>
            <m:r>
              <w:rPr>
                <w:rFonts w:ascii="Cambria Math" w:hAnsi="Cambria Math"/>
              </w:rPr>
              <m:t>mt</m:t>
            </m:r>
          </m:sub>
          <m:sup>
            <m:r>
              <w:rPr>
                <w:rFonts w:ascii="Cambria Math" w:hAnsi="Cambria Math"/>
              </w:rPr>
              <m:t>2</m:t>
            </m:r>
          </m:sup>
        </m:sSubSup>
      </m:oMath>
      <w:r w:rsidR="00B00C3B">
        <w:rPr>
          <w:rFonts w:eastAsiaTheme="minorEastAsia"/>
        </w:rPr>
        <w:t>.</w:t>
      </w:r>
      <w:r w:rsidR="00B00C3B">
        <w:br/>
      </w:r>
    </w:p>
    <w:p w14:paraId="226D7796" w14:textId="781C0E8E" w:rsidR="00B00C3B" w:rsidRDefault="00B00C3B" w:rsidP="00CF766E">
      <w:pPr>
        <w:pStyle w:val="ListParagraph"/>
        <w:ind w:left="360"/>
      </w:pPr>
      <w:r>
        <w:t xml:space="preserve">If one estimates the multivariate regression </w:t>
      </w:r>
      <w:r w:rsidR="00394D68">
        <w:t xml:space="preserve">represented by this equation, the estimate of the parameter λ is an estimate of the partial correlation between the prices in markets 1 and 2 once one controls for common exogenous factors (i.e., things correlated with the prices in both markets that don’t capture the true causal relationship in price movements between them). If the estimate of </w:t>
      </w:r>
      <w:proofErr w:type="gramStart"/>
      <w:r w:rsidR="00394D68">
        <w:t>λ  is</w:t>
      </w:r>
      <w:proofErr w:type="gramEnd"/>
      <w:r w:rsidR="00394D68">
        <w:t xml:space="preserve"> statistically significantly different from 0 but not statistically significantly different from 1, this can be taken as a reasonable indicator of market integration.</w:t>
      </w:r>
      <w:r w:rsidR="00814843">
        <w:rPr>
          <w:rStyle w:val="FootnoteReference"/>
        </w:rPr>
        <w:footnoteReference w:id="1"/>
      </w:r>
      <w:r w:rsidR="00394D68">
        <w:t xml:space="preserve"> </w:t>
      </w:r>
      <w:r w:rsidR="00FB5E54">
        <w:t>It means that w</w:t>
      </w:r>
      <w:r w:rsidR="00814843">
        <w:t xml:space="preserve">hen the price in market 2 changes, it tends to lead to a similar </w:t>
      </w:r>
      <w:r w:rsidR="00FB5E54">
        <w:t xml:space="preserve">magnitude </w:t>
      </w:r>
      <w:r w:rsidR="00814843">
        <w:t>change in the price in market 1, ev</w:t>
      </w:r>
      <w:r w:rsidR="00394D68">
        <w:t>en controlling for confounding factors</w:t>
      </w:r>
      <w:r w:rsidR="00814843">
        <w:t xml:space="preserve">, which </w:t>
      </w:r>
      <w:r w:rsidR="00FB5E54">
        <w:t>implies a reasonably free flow of information and goods between the markets</w:t>
      </w:r>
      <w:r w:rsidR="00394D68">
        <w:t>.</w:t>
      </w:r>
      <w:r w:rsidR="00394D68">
        <w:rPr>
          <w:rStyle w:val="FootnoteReference"/>
        </w:rPr>
        <w:footnoteReference w:id="2"/>
      </w:r>
      <w:r w:rsidR="00394D68">
        <w:t xml:space="preserve">  </w:t>
      </w:r>
    </w:p>
    <w:p w14:paraId="5C91836B" w14:textId="77777777" w:rsidR="0017724D" w:rsidRDefault="0017724D" w:rsidP="00CF766E">
      <w:pPr>
        <w:pStyle w:val="ListParagraph"/>
        <w:ind w:left="360"/>
      </w:pPr>
    </w:p>
    <w:p w14:paraId="556B761D" w14:textId="186C22BF" w:rsidR="0017724D" w:rsidRDefault="0017724D" w:rsidP="00CF766E">
      <w:pPr>
        <w:pStyle w:val="ListParagraph"/>
        <w:ind w:left="360"/>
      </w:pPr>
      <w:r>
        <w:lastRenderedPageBreak/>
        <w:t>If price time series are available for multiple markets, as is commonly the case, then repeat the exercise for each market pair to create a matrix of partial correlations among spatial markets. This</w:t>
      </w:r>
      <w:r w:rsidR="007F5EF3">
        <w:t xml:space="preserve"> exercise</w:t>
      </w:r>
      <w:r>
        <w:t xml:space="preserve"> can be used to identify which markets are especially well integrated and which ones are relatively segmented.  Since appropriate food security response depends on market conditions, exploring possible variation across space in market integration is important.</w:t>
      </w:r>
    </w:p>
    <w:p w14:paraId="169F1300" w14:textId="77777777" w:rsidR="00CA7C91" w:rsidRDefault="00CA7C91" w:rsidP="00CF766E">
      <w:pPr>
        <w:pStyle w:val="ListParagraph"/>
        <w:ind w:left="360"/>
      </w:pPr>
    </w:p>
    <w:p w14:paraId="6FA8A005" w14:textId="66A78229" w:rsidR="00CA7C91" w:rsidRPr="00350E1D" w:rsidRDefault="00A37DA3" w:rsidP="00394D68">
      <w:pPr>
        <w:pStyle w:val="ListParagraph"/>
        <w:numPr>
          <w:ilvl w:val="1"/>
          <w:numId w:val="10"/>
        </w:numPr>
        <w:ind w:left="720"/>
        <w:rPr>
          <w:i/>
        </w:rPr>
      </w:pPr>
      <w:r w:rsidRPr="00350E1D">
        <w:rPr>
          <w:i/>
        </w:rPr>
        <w:t xml:space="preserve">Limitations of the </w:t>
      </w:r>
      <w:r w:rsidR="0044629A" w:rsidRPr="00350E1D">
        <w:rPr>
          <w:i/>
        </w:rPr>
        <w:t>a</w:t>
      </w:r>
      <w:r w:rsidRPr="00350E1D">
        <w:rPr>
          <w:i/>
        </w:rPr>
        <w:t>nalytic:</w:t>
      </w:r>
    </w:p>
    <w:p w14:paraId="7EA28492" w14:textId="1706A16F" w:rsidR="00A37DA3" w:rsidRDefault="00A37DA3" w:rsidP="00A37DA3">
      <w:pPr>
        <w:pStyle w:val="ListParagraph"/>
        <w:ind w:left="360"/>
      </w:pPr>
      <w:r>
        <w:t xml:space="preserve">Note that </w:t>
      </w:r>
      <w:r w:rsidRPr="00700B4A">
        <w:t>prices</w:t>
      </w:r>
      <w:r>
        <w:t xml:space="preserve"> do not fully characterize the relationship between markets.  Therefore, simple spatial price analysis must be interpreted with caution</w:t>
      </w:r>
      <w:r w:rsidR="005E2AC7">
        <w:t xml:space="preserve">, </w:t>
      </w:r>
      <w:r>
        <w:t>especially when:</w:t>
      </w:r>
    </w:p>
    <w:p w14:paraId="3BC4BEFD" w14:textId="77777777" w:rsidR="00A37DA3" w:rsidRDefault="00A37DA3" w:rsidP="00A37DA3">
      <w:pPr>
        <w:pStyle w:val="ListParagraph"/>
        <w:ind w:left="360"/>
      </w:pPr>
    </w:p>
    <w:p w14:paraId="05DFC3C2" w14:textId="77777777" w:rsidR="00A37DA3" w:rsidRDefault="00A37DA3" w:rsidP="00A37DA3">
      <w:pPr>
        <w:pStyle w:val="ListParagraph"/>
      </w:pPr>
      <w:r>
        <w:t>- trade flows are discontinuous, as is commonly true of rural places that export to urban central markets in the immediate post-harvest period, are autarkic for a period of several months thereafter, and then import food from urban storage facilities in the pre-harvest “lean season” (a phenomenon known as “flow reversals”).</w:t>
      </w:r>
    </w:p>
    <w:p w14:paraId="7465A6C4" w14:textId="77777777" w:rsidR="00A37DA3" w:rsidRDefault="00A37DA3" w:rsidP="00A37DA3">
      <w:pPr>
        <w:pStyle w:val="ListParagraph"/>
      </w:pPr>
    </w:p>
    <w:p w14:paraId="7ABB9D5E" w14:textId="77777777" w:rsidR="00A37DA3" w:rsidRDefault="00A37DA3" w:rsidP="00A37DA3">
      <w:pPr>
        <w:pStyle w:val="ListParagraph"/>
      </w:pPr>
      <w:r>
        <w:t>- the</w:t>
      </w:r>
      <w:r w:rsidRPr="00700B4A">
        <w:t xml:space="preserve"> costs</w:t>
      </w:r>
      <w:r>
        <w:t xml:space="preserve"> of spatial arbitrage change significantly (and non-randomly) over time, perhaps due to changes in fuel costs, taxes, infrastructure loss, or other factors affecting food marketing.</w:t>
      </w:r>
    </w:p>
    <w:p w14:paraId="6522795C" w14:textId="77777777" w:rsidR="0017724D" w:rsidRDefault="0017724D" w:rsidP="008011C5"/>
    <w:p w14:paraId="7696AE36" w14:textId="77777777" w:rsidR="00394D68" w:rsidRPr="00832E0E" w:rsidRDefault="00814843" w:rsidP="00832E0E">
      <w:pPr>
        <w:rPr>
          <w:i/>
          <w:u w:val="single"/>
        </w:rPr>
      </w:pPr>
      <w:r w:rsidRPr="00832E0E">
        <w:rPr>
          <w:i/>
          <w:u w:val="single"/>
        </w:rPr>
        <w:t>Summary</w:t>
      </w:r>
    </w:p>
    <w:p w14:paraId="0DA64E1F" w14:textId="497CC741" w:rsidR="00814843" w:rsidRDefault="005E2AC7" w:rsidP="00814843">
      <w:r>
        <w:t>T</w:t>
      </w:r>
      <w:r w:rsidR="00814843">
        <w:t>o get a clearer sense of how local prices are likely to shift in response to cash, voucher or food distribution in a recipient market, or in response to agency procurement in a source market, it helps to have a good sense of how well</w:t>
      </w:r>
      <w:r w:rsidR="00FB5E54">
        <w:t xml:space="preserve"> a target recipient (distribution) or source (procurement) market is </w:t>
      </w:r>
      <w:r w:rsidR="00814843">
        <w:t xml:space="preserve">integrated </w:t>
      </w:r>
      <w:r w:rsidR="00FB5E54">
        <w:t>with broader central markets in the country or region.  In the next lecture we look at the specific case of integration with the global market.</w:t>
      </w:r>
    </w:p>
    <w:p w14:paraId="45915690" w14:textId="77777777" w:rsidR="008011C5" w:rsidRDefault="008011C5" w:rsidP="00814843"/>
    <w:p w14:paraId="73B2B823" w14:textId="3651B127" w:rsidR="008011C5" w:rsidRPr="008011C5" w:rsidRDefault="008011C5" w:rsidP="00814843">
      <w:pPr>
        <w:rPr>
          <w:b/>
          <w:i/>
        </w:rPr>
      </w:pPr>
      <w:r w:rsidRPr="008011C5">
        <w:rPr>
          <w:b/>
          <w:i/>
        </w:rPr>
        <w:t>Supplemental Information</w:t>
      </w:r>
    </w:p>
    <w:p w14:paraId="2A4F1126" w14:textId="39E9FA5C" w:rsidR="008011C5" w:rsidRDefault="008011C5" w:rsidP="00814843">
      <w:pPr>
        <w:rPr>
          <w:i/>
        </w:rPr>
      </w:pPr>
      <w:r>
        <w:rPr>
          <w:i/>
        </w:rPr>
        <w:t>Parity Bounds Model</w:t>
      </w:r>
    </w:p>
    <w:p w14:paraId="60366A9F" w14:textId="004A3837" w:rsidR="008011C5" w:rsidRDefault="008011C5" w:rsidP="008011C5">
      <w:r>
        <w:t xml:space="preserve">Recent innovations in market integration testing include variations on a method called a “parity bounds model” (PBM) that statistically estimates the price band and the frequency with which price series are consistent with (i) market integration under spatial equilibrium, (ii) market segmentation in equilibrium – i.e., marketing costs exceed </w:t>
      </w:r>
      <w:proofErr w:type="spellStart"/>
      <w:r>
        <w:t>intermarket</w:t>
      </w:r>
      <w:proofErr w:type="spellEnd"/>
      <w:r>
        <w:t xml:space="preserve"> price differences – and (iii) market disequilibrium, meaning that there seem to be extraordinary profits to spatial arbitrage due to any of several factors, including noncompetitive behavior, information problems, unobserved costs of commerce, etc. These methods are almost certainly beyond the capacity of MIFIRA analysts working with limited data, statistical skills and time.  </w:t>
      </w:r>
    </w:p>
    <w:p w14:paraId="22A52F61" w14:textId="77777777" w:rsidR="008011C5" w:rsidRDefault="008011C5" w:rsidP="008011C5"/>
    <w:p w14:paraId="36175902" w14:textId="77777777" w:rsidR="008011C5" w:rsidRDefault="008011C5" w:rsidP="008011C5">
      <w:r>
        <w:t>But the intuition behind the PBM method can be instructive and worth keeping in mind. By way of example, Moser et al. (</w:t>
      </w:r>
      <w:r w:rsidRPr="00814843">
        <w:rPr>
          <w:i/>
        </w:rPr>
        <w:t xml:space="preserve">Agricultural Economics </w:t>
      </w:r>
      <w:r w:rsidRPr="00744745">
        <w:t>2009</w:t>
      </w:r>
      <w:r>
        <w:t xml:space="preserve">) study seasonal rice price relationships among roughly 1400 communes in Madagascar and find striking differences in the nature of market integration depending on the distances </w:t>
      </w:r>
      <w:r>
        <w:lastRenderedPageBreak/>
        <w:t xml:space="preserve">involved.  As summarized in the accompanying table, connections between markets within </w:t>
      </w:r>
      <w:proofErr w:type="spellStart"/>
      <w:r>
        <w:t>subregions</w:t>
      </w:r>
      <w:proofErr w:type="spellEnd"/>
      <w:r>
        <w:t xml:space="preserve"> are very strong, with nearly 70% of market pairs in integrated equilibrium. But linkages from rural markets to provincial capitals or to the national capital were very rarely integrated, in the latter case due to very high transport costs while the observable costs of commerce could not explain price dispersion at the intermediate, regional scale.  </w:t>
      </w:r>
    </w:p>
    <w:p w14:paraId="38BE611E" w14:textId="77777777" w:rsidR="008011C5" w:rsidRDefault="008011C5" w:rsidP="008011C5">
      <w:pPr>
        <w:pStyle w:val="ListParagraph"/>
        <w:ind w:left="360"/>
      </w:pPr>
    </w:p>
    <w:p w14:paraId="7AA088FF" w14:textId="77777777" w:rsidR="008011C5" w:rsidRPr="00CF766E" w:rsidRDefault="008011C5" w:rsidP="008011C5">
      <w:pPr>
        <w:pStyle w:val="ListParagraph"/>
        <w:ind w:left="360"/>
        <w:jc w:val="center"/>
        <w:rPr>
          <w:i/>
        </w:rPr>
      </w:pPr>
      <w:r w:rsidRPr="00CF766E">
        <w:rPr>
          <w:i/>
        </w:rPr>
        <w:t>Commune-level rice market integration in Madagascar</w:t>
      </w:r>
    </w:p>
    <w:tbl>
      <w:tblPr>
        <w:tblStyle w:val="TableGrid"/>
        <w:tblW w:w="0" w:type="auto"/>
        <w:jc w:val="center"/>
        <w:tblLook w:val="04A0" w:firstRow="1" w:lastRow="0" w:firstColumn="1" w:lastColumn="0" w:noHBand="0" w:noVBand="1"/>
      </w:tblPr>
      <w:tblGrid>
        <w:gridCol w:w="3258"/>
        <w:gridCol w:w="1710"/>
        <w:gridCol w:w="1440"/>
        <w:gridCol w:w="1515"/>
      </w:tblGrid>
      <w:tr w:rsidR="008011C5" w14:paraId="6FD15CC5" w14:textId="77777777" w:rsidTr="00B50C87">
        <w:trPr>
          <w:jc w:val="center"/>
        </w:trPr>
        <w:tc>
          <w:tcPr>
            <w:tcW w:w="3258" w:type="dxa"/>
          </w:tcPr>
          <w:p w14:paraId="7BB49B50" w14:textId="77777777" w:rsidR="008011C5" w:rsidRPr="00CF766E" w:rsidRDefault="008011C5" w:rsidP="00B50C87">
            <w:pPr>
              <w:pStyle w:val="ListParagraph"/>
              <w:ind w:left="360"/>
            </w:pPr>
            <w:r w:rsidRPr="00CF766E">
              <w:t>Market condition</w:t>
            </w:r>
          </w:p>
        </w:tc>
        <w:tc>
          <w:tcPr>
            <w:tcW w:w="1710" w:type="dxa"/>
          </w:tcPr>
          <w:p w14:paraId="5AB755DB" w14:textId="77777777" w:rsidR="008011C5" w:rsidRPr="00CF766E" w:rsidRDefault="008011C5" w:rsidP="00B50C87">
            <w:pPr>
              <w:pStyle w:val="ListParagraph"/>
              <w:ind w:left="360"/>
              <w:rPr>
                <w:b/>
              </w:rPr>
            </w:pPr>
            <w:proofErr w:type="spellStart"/>
            <w:r w:rsidRPr="00CF766E">
              <w:rPr>
                <w:b/>
              </w:rPr>
              <w:t>Subregion</w:t>
            </w:r>
            <w:proofErr w:type="spellEnd"/>
          </w:p>
        </w:tc>
        <w:tc>
          <w:tcPr>
            <w:tcW w:w="1440" w:type="dxa"/>
          </w:tcPr>
          <w:p w14:paraId="46658DE5" w14:textId="77777777" w:rsidR="008011C5" w:rsidRPr="00CF766E" w:rsidRDefault="008011C5" w:rsidP="00B50C87">
            <w:pPr>
              <w:pStyle w:val="ListParagraph"/>
              <w:ind w:left="360"/>
              <w:rPr>
                <w:b/>
              </w:rPr>
            </w:pPr>
            <w:r w:rsidRPr="00CF766E">
              <w:rPr>
                <w:b/>
              </w:rPr>
              <w:t>Region</w:t>
            </w:r>
          </w:p>
        </w:tc>
        <w:tc>
          <w:tcPr>
            <w:tcW w:w="1368" w:type="dxa"/>
          </w:tcPr>
          <w:p w14:paraId="41017424" w14:textId="77777777" w:rsidR="008011C5" w:rsidRPr="00CF766E" w:rsidRDefault="008011C5" w:rsidP="00B50C87">
            <w:pPr>
              <w:pStyle w:val="ListParagraph"/>
              <w:ind w:left="360"/>
              <w:rPr>
                <w:b/>
              </w:rPr>
            </w:pPr>
            <w:r w:rsidRPr="00CF766E">
              <w:rPr>
                <w:b/>
              </w:rPr>
              <w:t>National</w:t>
            </w:r>
          </w:p>
        </w:tc>
      </w:tr>
      <w:tr w:rsidR="008011C5" w14:paraId="5CD1AE3C" w14:textId="77777777" w:rsidTr="00B50C87">
        <w:trPr>
          <w:jc w:val="center"/>
        </w:trPr>
        <w:tc>
          <w:tcPr>
            <w:tcW w:w="3258" w:type="dxa"/>
          </w:tcPr>
          <w:p w14:paraId="4DE0EDA6" w14:textId="77777777" w:rsidR="008011C5" w:rsidRPr="00CF766E" w:rsidRDefault="008011C5" w:rsidP="00B50C87">
            <w:pPr>
              <w:pStyle w:val="ListParagraph"/>
              <w:ind w:left="360"/>
              <w:rPr>
                <w:b/>
              </w:rPr>
            </w:pPr>
            <w:r w:rsidRPr="00CF766E">
              <w:rPr>
                <w:b/>
              </w:rPr>
              <w:t>Integrated equilibrium</w:t>
            </w:r>
          </w:p>
        </w:tc>
        <w:tc>
          <w:tcPr>
            <w:tcW w:w="1710" w:type="dxa"/>
          </w:tcPr>
          <w:p w14:paraId="4909CB5A" w14:textId="77777777" w:rsidR="008011C5" w:rsidRPr="00CF766E" w:rsidRDefault="008011C5" w:rsidP="00B50C87">
            <w:pPr>
              <w:pStyle w:val="ListParagraph"/>
              <w:ind w:left="360"/>
              <w:rPr>
                <w:b/>
                <w:color w:val="FF0000"/>
              </w:rPr>
            </w:pPr>
            <w:r w:rsidRPr="00CF766E">
              <w:rPr>
                <w:b/>
                <w:color w:val="FF0000"/>
              </w:rPr>
              <w:t>68.9%</w:t>
            </w:r>
          </w:p>
        </w:tc>
        <w:tc>
          <w:tcPr>
            <w:tcW w:w="1440" w:type="dxa"/>
          </w:tcPr>
          <w:p w14:paraId="17CB1191" w14:textId="77777777" w:rsidR="008011C5" w:rsidRPr="00CF766E" w:rsidRDefault="008011C5" w:rsidP="00B50C87">
            <w:pPr>
              <w:pStyle w:val="ListParagraph"/>
              <w:ind w:left="360"/>
              <w:rPr>
                <w:color w:val="0070C0"/>
              </w:rPr>
            </w:pPr>
            <w:r w:rsidRPr="00CF766E">
              <w:rPr>
                <w:color w:val="0070C0"/>
              </w:rPr>
              <w:t>5.5%</w:t>
            </w:r>
          </w:p>
        </w:tc>
        <w:tc>
          <w:tcPr>
            <w:tcW w:w="1368" w:type="dxa"/>
          </w:tcPr>
          <w:p w14:paraId="646DA14B" w14:textId="77777777" w:rsidR="008011C5" w:rsidRPr="00CF766E" w:rsidRDefault="008011C5" w:rsidP="00B50C87">
            <w:pPr>
              <w:pStyle w:val="ListParagraph"/>
              <w:ind w:left="360"/>
              <w:rPr>
                <w:color w:val="0070C0"/>
              </w:rPr>
            </w:pPr>
            <w:r w:rsidRPr="00CF766E">
              <w:rPr>
                <w:color w:val="0070C0"/>
              </w:rPr>
              <w:t>12.8%</w:t>
            </w:r>
          </w:p>
        </w:tc>
      </w:tr>
      <w:tr w:rsidR="008011C5" w14:paraId="010C3FA8" w14:textId="77777777" w:rsidTr="00B50C87">
        <w:trPr>
          <w:jc w:val="center"/>
        </w:trPr>
        <w:tc>
          <w:tcPr>
            <w:tcW w:w="3258" w:type="dxa"/>
          </w:tcPr>
          <w:p w14:paraId="73161487" w14:textId="77777777" w:rsidR="008011C5" w:rsidRPr="00CF766E" w:rsidRDefault="008011C5" w:rsidP="00B50C87">
            <w:pPr>
              <w:pStyle w:val="ListParagraph"/>
              <w:ind w:left="360"/>
              <w:rPr>
                <w:b/>
              </w:rPr>
            </w:pPr>
            <w:r w:rsidRPr="00CF766E">
              <w:rPr>
                <w:b/>
              </w:rPr>
              <w:t>Segmented equilibrium</w:t>
            </w:r>
          </w:p>
        </w:tc>
        <w:tc>
          <w:tcPr>
            <w:tcW w:w="1710" w:type="dxa"/>
          </w:tcPr>
          <w:p w14:paraId="311E6BFD" w14:textId="77777777" w:rsidR="008011C5" w:rsidRPr="00CF766E" w:rsidRDefault="008011C5" w:rsidP="00B50C87">
            <w:pPr>
              <w:pStyle w:val="ListParagraph"/>
              <w:ind w:left="360"/>
              <w:rPr>
                <w:color w:val="0070C0"/>
              </w:rPr>
            </w:pPr>
            <w:r w:rsidRPr="00CF766E">
              <w:rPr>
                <w:color w:val="0070C0"/>
              </w:rPr>
              <w:t>21.5%</w:t>
            </w:r>
          </w:p>
        </w:tc>
        <w:tc>
          <w:tcPr>
            <w:tcW w:w="1440" w:type="dxa"/>
          </w:tcPr>
          <w:p w14:paraId="7721A6F1" w14:textId="77777777" w:rsidR="008011C5" w:rsidRPr="00CF766E" w:rsidRDefault="008011C5" w:rsidP="00B50C87">
            <w:pPr>
              <w:pStyle w:val="ListParagraph"/>
              <w:ind w:left="360"/>
              <w:rPr>
                <w:color w:val="0070C0"/>
              </w:rPr>
            </w:pPr>
            <w:r w:rsidRPr="00CF766E">
              <w:rPr>
                <w:color w:val="0070C0"/>
              </w:rPr>
              <w:t>31.1%</w:t>
            </w:r>
          </w:p>
        </w:tc>
        <w:tc>
          <w:tcPr>
            <w:tcW w:w="1368" w:type="dxa"/>
          </w:tcPr>
          <w:p w14:paraId="610E6A2E" w14:textId="77777777" w:rsidR="008011C5" w:rsidRPr="00CF766E" w:rsidRDefault="008011C5" w:rsidP="00B50C87">
            <w:pPr>
              <w:pStyle w:val="ListParagraph"/>
              <w:ind w:left="360"/>
              <w:rPr>
                <w:b/>
                <w:color w:val="FF0000"/>
              </w:rPr>
            </w:pPr>
            <w:r w:rsidRPr="00CF766E">
              <w:rPr>
                <w:b/>
                <w:color w:val="FF0000"/>
              </w:rPr>
              <w:t>83.0%</w:t>
            </w:r>
          </w:p>
        </w:tc>
      </w:tr>
      <w:tr w:rsidR="008011C5" w14:paraId="053E49CF" w14:textId="77777777" w:rsidTr="00B50C87">
        <w:trPr>
          <w:jc w:val="center"/>
        </w:trPr>
        <w:tc>
          <w:tcPr>
            <w:tcW w:w="3258" w:type="dxa"/>
          </w:tcPr>
          <w:p w14:paraId="4DF2B472" w14:textId="77777777" w:rsidR="008011C5" w:rsidRPr="00CF766E" w:rsidRDefault="008011C5" w:rsidP="00B50C87">
            <w:pPr>
              <w:pStyle w:val="ListParagraph"/>
              <w:ind w:left="360"/>
              <w:rPr>
                <w:b/>
              </w:rPr>
            </w:pPr>
            <w:r w:rsidRPr="00CF766E">
              <w:rPr>
                <w:b/>
              </w:rPr>
              <w:t>Disequilibrium</w:t>
            </w:r>
          </w:p>
        </w:tc>
        <w:tc>
          <w:tcPr>
            <w:tcW w:w="1710" w:type="dxa"/>
          </w:tcPr>
          <w:p w14:paraId="73015DE4" w14:textId="77777777" w:rsidR="008011C5" w:rsidRPr="00CF766E" w:rsidRDefault="008011C5" w:rsidP="00B50C87">
            <w:pPr>
              <w:pStyle w:val="ListParagraph"/>
              <w:ind w:left="360"/>
              <w:rPr>
                <w:color w:val="0070C0"/>
              </w:rPr>
            </w:pPr>
            <w:r w:rsidRPr="00CF766E">
              <w:rPr>
                <w:color w:val="0070C0"/>
              </w:rPr>
              <w:t>9.6%</w:t>
            </w:r>
          </w:p>
        </w:tc>
        <w:tc>
          <w:tcPr>
            <w:tcW w:w="1440" w:type="dxa"/>
          </w:tcPr>
          <w:p w14:paraId="167BEF63" w14:textId="77777777" w:rsidR="008011C5" w:rsidRPr="00CF766E" w:rsidRDefault="008011C5" w:rsidP="00B50C87">
            <w:pPr>
              <w:pStyle w:val="ListParagraph"/>
              <w:ind w:left="360"/>
              <w:rPr>
                <w:b/>
                <w:color w:val="FF0000"/>
              </w:rPr>
            </w:pPr>
            <w:r w:rsidRPr="00CF766E">
              <w:rPr>
                <w:b/>
                <w:color w:val="FF0000"/>
              </w:rPr>
              <w:t>63.4%</w:t>
            </w:r>
          </w:p>
        </w:tc>
        <w:tc>
          <w:tcPr>
            <w:tcW w:w="1368" w:type="dxa"/>
          </w:tcPr>
          <w:p w14:paraId="2B9B70AC" w14:textId="77777777" w:rsidR="008011C5" w:rsidRPr="00CF766E" w:rsidRDefault="008011C5" w:rsidP="00B50C87">
            <w:pPr>
              <w:pStyle w:val="ListParagraph"/>
              <w:ind w:left="360"/>
              <w:rPr>
                <w:color w:val="0070C0"/>
              </w:rPr>
            </w:pPr>
            <w:r w:rsidRPr="00CF766E">
              <w:rPr>
                <w:color w:val="0070C0"/>
              </w:rPr>
              <w:t>4.3%</w:t>
            </w:r>
          </w:p>
        </w:tc>
      </w:tr>
    </w:tbl>
    <w:p w14:paraId="41A23D13" w14:textId="77777777" w:rsidR="008011C5" w:rsidRPr="00350E1D" w:rsidRDefault="008011C5" w:rsidP="008011C5">
      <w:pPr>
        <w:pStyle w:val="ListParagraph"/>
        <w:ind w:left="360"/>
        <w:rPr>
          <w:i/>
        </w:rPr>
      </w:pPr>
      <w:r>
        <w:t>Source: Moser (2009), Spatial Integration at Multiple Scales</w:t>
      </w:r>
    </w:p>
    <w:p w14:paraId="080DE88F" w14:textId="77777777" w:rsidR="008011C5" w:rsidRDefault="008011C5" w:rsidP="008011C5"/>
    <w:p w14:paraId="189F6395" w14:textId="77777777" w:rsidR="008011C5" w:rsidRDefault="008011C5" w:rsidP="008011C5">
      <w:r>
        <w:t xml:space="preserve">These findings illustrate a couple of useful points worth bearing in mind during a MIFIRA analysis. First, the nature of market integration can vary dramatically across scales, depending on the distances (and associated marketing costs) involved and the nature of local competition among traders. Second, for any given scale of analysis there is almost always some variation in market integration; one place is not always the same as another. Look for geographic heterogeneity in market integration relationships, as the best food security programming response in one place is not necessarily the best response in another. </w:t>
      </w:r>
    </w:p>
    <w:p w14:paraId="7705F08B" w14:textId="77777777" w:rsidR="008011C5" w:rsidRPr="008011C5" w:rsidRDefault="008011C5" w:rsidP="00814843">
      <w:pPr>
        <w:rPr>
          <w:i/>
        </w:rPr>
      </w:pPr>
    </w:p>
    <w:p w14:paraId="400FC285" w14:textId="77777777" w:rsidR="005844A0" w:rsidRPr="008011C5" w:rsidRDefault="005844A0" w:rsidP="00814843">
      <w:pPr>
        <w:pStyle w:val="Heading1"/>
        <w:rPr>
          <w:i/>
        </w:rPr>
      </w:pPr>
    </w:p>
    <w:sectPr w:rsidR="005844A0" w:rsidRPr="008011C5" w:rsidSect="005844A0">
      <w:footerReference w:type="even" r:id="rId26"/>
      <w:footerReference w:type="default" r:id="rId2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17D34D" w14:textId="77777777" w:rsidR="008945D0" w:rsidRDefault="008945D0" w:rsidP="00221DED">
      <w:r>
        <w:separator/>
      </w:r>
    </w:p>
  </w:endnote>
  <w:endnote w:type="continuationSeparator" w:id="0">
    <w:p w14:paraId="53E859BF" w14:textId="77777777" w:rsidR="008945D0" w:rsidRDefault="008945D0" w:rsidP="00221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TimesNewRomanPSMT">
    <w:panose1 w:val="00000000000000000000"/>
    <w:charset w:val="00"/>
    <w:family w:val="roman"/>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Math">
    <w:panose1 w:val="02040503050406030204"/>
    <w:charset w:val="00"/>
    <w:family w:val="auto"/>
    <w:pitch w:val="variable"/>
    <w:sig w:usb0="E00002FF" w:usb1="42002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7AD17" w14:textId="77777777" w:rsidR="008945D0" w:rsidRDefault="008945D0" w:rsidP="007C05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880D85" w14:textId="77777777" w:rsidR="008945D0" w:rsidRDefault="008945D0" w:rsidP="0025145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2F5AF" w14:textId="77777777" w:rsidR="008945D0" w:rsidRDefault="008945D0" w:rsidP="007C05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063B">
      <w:rPr>
        <w:rStyle w:val="PageNumber"/>
        <w:noProof/>
      </w:rPr>
      <w:t>1</w:t>
    </w:r>
    <w:r>
      <w:rPr>
        <w:rStyle w:val="PageNumber"/>
      </w:rPr>
      <w:fldChar w:fldCharType="end"/>
    </w:r>
  </w:p>
  <w:sdt>
    <w:sdtPr>
      <w:id w:val="46247891"/>
      <w:docPartObj>
        <w:docPartGallery w:val="Page Numbers (Bottom of Page)"/>
        <w:docPartUnique/>
      </w:docPartObj>
    </w:sdtPr>
    <w:sdtEndPr/>
    <w:sdtContent>
      <w:p w14:paraId="64E80580" w14:textId="77777777" w:rsidR="008945D0" w:rsidRDefault="000F063B" w:rsidP="00251453">
        <w:pPr>
          <w:pStyle w:val="Footer"/>
          <w:ind w:right="360"/>
          <w:jc w:val="center"/>
        </w:pPr>
      </w:p>
    </w:sdtContent>
  </w:sdt>
  <w:p w14:paraId="3427F1EB" w14:textId="77777777" w:rsidR="008945D0" w:rsidRDefault="008945D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24FA4E" w14:textId="77777777" w:rsidR="008945D0" w:rsidRDefault="008945D0" w:rsidP="00221DED">
      <w:r>
        <w:separator/>
      </w:r>
    </w:p>
  </w:footnote>
  <w:footnote w:type="continuationSeparator" w:id="0">
    <w:p w14:paraId="6B59246C" w14:textId="77777777" w:rsidR="008945D0" w:rsidRDefault="008945D0" w:rsidP="00221DED">
      <w:r>
        <w:continuationSeparator/>
      </w:r>
    </w:p>
  </w:footnote>
  <w:footnote w:id="1">
    <w:p w14:paraId="3A7D40D7" w14:textId="77777777" w:rsidR="008945D0" w:rsidRDefault="008945D0">
      <w:pPr>
        <w:pStyle w:val="FootnoteText"/>
      </w:pPr>
      <w:r>
        <w:rPr>
          <w:rStyle w:val="FootnoteReference"/>
        </w:rPr>
        <w:footnoteRef/>
      </w:r>
      <w:r>
        <w:t xml:space="preserve"> In economics, this is known as a test of the “law of one price,” the idea that prices move one-for-one between two markets once one controls for confounding factors.</w:t>
      </w:r>
    </w:p>
    <w:p w14:paraId="722D4C79" w14:textId="77777777" w:rsidR="008945D0" w:rsidRDefault="008945D0">
      <w:pPr>
        <w:pStyle w:val="FootnoteText"/>
      </w:pPr>
    </w:p>
  </w:footnote>
  <w:footnote w:id="2">
    <w:p w14:paraId="4EDBAC07" w14:textId="4C85F589" w:rsidR="008945D0" w:rsidRDefault="008945D0">
      <w:pPr>
        <w:pStyle w:val="FootnoteText"/>
      </w:pPr>
      <w:r>
        <w:rPr>
          <w:rStyle w:val="FootnoteReference"/>
        </w:rPr>
        <w:footnoteRef/>
      </w:r>
      <w:r>
        <w:t xml:space="preserve"> Even more sophisticated versions of this multivariate regression approach rely on advanced time series methods known as error correction models to allow for lagged responses, adjustments to temporary disequilibrium in the inter-market price relationship, and statistical considerations associated with the properties of the regression errors terms. Such methods are typically beyond the time, data, and technical skills capacity of development organizations. The initial use of this method to explore developing country food market integration (in Bangladesh) was by Martin </w:t>
      </w:r>
      <w:proofErr w:type="spellStart"/>
      <w:r>
        <w:t>Ravallion</w:t>
      </w:r>
      <w:proofErr w:type="spellEnd"/>
      <w:r>
        <w:t xml:space="preserve"> (1986 </w:t>
      </w:r>
      <w:r w:rsidRPr="00394D68">
        <w:rPr>
          <w:i/>
        </w:rPr>
        <w:t>American Journal of Agricultural Economics</w:t>
      </w:r>
      <w:r>
        <w:t xml:space="preserve">).  More advanced variants of the technique employ price, transactions cost and trade data (e.g., Stephens et al. “Spatial Price Adjustment With and Without Trade,” </w:t>
      </w:r>
      <w:r w:rsidR="00AC0510" w:rsidRPr="00C07C14">
        <w:rPr>
          <w:i/>
        </w:rPr>
        <w:t>Oxford Bulletin of Economics and Statistics</w:t>
      </w:r>
      <w:r w:rsidR="00AC0510">
        <w:t xml:space="preserve">, 2012, </w:t>
      </w:r>
      <w:hyperlink r:id="rId1" w:history="1">
        <w:r w:rsidR="00AC0510" w:rsidRPr="002A18FF">
          <w:rPr>
            <w:rStyle w:val="Hyperlink"/>
          </w:rPr>
          <w:t>http://onlinelibrary.wiley.com/doi/10.1111/j.1468-0084.2011.00651.x/abstract;jsessionid=5D185475BA8822C114131A92295EB463.d04t03?systemMessage=Wiley+Online+Library+will+be+disrupted+24+March+from+10-14+GMT+%2806-10+EDT%29+for+essential+maintenance&amp;userIsAuthenticated=false&amp;deniedAccessCustomisedMessage</w:t>
        </w:r>
      </w:hyperlink>
      <w:r w:rsidR="00AC0510" w:rsidRPr="00AC0510">
        <w:t>=</w:t>
      </w:r>
      <w:r w:rsidR="00AC0510">
        <w:t xml:space="preserve"> </w:t>
      </w:r>
      <w: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B0F1D"/>
    <w:multiLevelType w:val="hybridMultilevel"/>
    <w:tmpl w:val="F5F2F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F964D4"/>
    <w:multiLevelType w:val="hybridMultilevel"/>
    <w:tmpl w:val="3C167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650FE1"/>
    <w:multiLevelType w:val="hybridMultilevel"/>
    <w:tmpl w:val="FA30C05A"/>
    <w:lvl w:ilvl="0" w:tplc="06DEE934">
      <w:start w:val="1"/>
      <w:numFmt w:val="bullet"/>
      <w:lvlText w:val="-"/>
      <w:lvlJc w:val="left"/>
      <w:pPr>
        <w:ind w:left="405" w:hanging="360"/>
      </w:pPr>
      <w:rPr>
        <w:rFonts w:ascii="Cambria" w:eastAsiaTheme="minorHAnsi" w:hAnsi="Cambria"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nsid w:val="1BC63E77"/>
    <w:multiLevelType w:val="hybridMultilevel"/>
    <w:tmpl w:val="E806F63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EB81287"/>
    <w:multiLevelType w:val="hybridMultilevel"/>
    <w:tmpl w:val="FB023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AC4DF7"/>
    <w:multiLevelType w:val="hybridMultilevel"/>
    <w:tmpl w:val="9B769D7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49285478"/>
    <w:multiLevelType w:val="hybridMultilevel"/>
    <w:tmpl w:val="9F3A1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CD051F"/>
    <w:multiLevelType w:val="hybridMultilevel"/>
    <w:tmpl w:val="3AB45F0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D163DD3"/>
    <w:multiLevelType w:val="hybridMultilevel"/>
    <w:tmpl w:val="1AB29E8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5F20E98"/>
    <w:multiLevelType w:val="hybridMultilevel"/>
    <w:tmpl w:val="58B454E6"/>
    <w:lvl w:ilvl="0" w:tplc="B7246808">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A8727B"/>
    <w:multiLevelType w:val="hybridMultilevel"/>
    <w:tmpl w:val="139CC87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0"/>
  </w:num>
  <w:num w:numId="4">
    <w:abstractNumId w:val="5"/>
  </w:num>
  <w:num w:numId="5">
    <w:abstractNumId w:val="10"/>
  </w:num>
  <w:num w:numId="6">
    <w:abstractNumId w:val="2"/>
  </w:num>
  <w:num w:numId="7">
    <w:abstractNumId w:val="3"/>
  </w:num>
  <w:num w:numId="8">
    <w:abstractNumId w:val="8"/>
  </w:num>
  <w:num w:numId="9">
    <w:abstractNumId w:val="9"/>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23A"/>
    <w:rsid w:val="000026E2"/>
    <w:rsid w:val="00011601"/>
    <w:rsid w:val="000F063B"/>
    <w:rsid w:val="000F748B"/>
    <w:rsid w:val="00115FAF"/>
    <w:rsid w:val="00126FA7"/>
    <w:rsid w:val="0017724D"/>
    <w:rsid w:val="001B7776"/>
    <w:rsid w:val="001D47E7"/>
    <w:rsid w:val="00205A9F"/>
    <w:rsid w:val="00221DED"/>
    <w:rsid w:val="00251453"/>
    <w:rsid w:val="00260D4B"/>
    <w:rsid w:val="0026706D"/>
    <w:rsid w:val="002714BC"/>
    <w:rsid w:val="00291EFE"/>
    <w:rsid w:val="002C038E"/>
    <w:rsid w:val="002D1168"/>
    <w:rsid w:val="002D259F"/>
    <w:rsid w:val="002E6101"/>
    <w:rsid w:val="002F1D7F"/>
    <w:rsid w:val="0030601E"/>
    <w:rsid w:val="00314950"/>
    <w:rsid w:val="00350E1D"/>
    <w:rsid w:val="00356E9A"/>
    <w:rsid w:val="00394D68"/>
    <w:rsid w:val="003B123D"/>
    <w:rsid w:val="003C198B"/>
    <w:rsid w:val="004253E7"/>
    <w:rsid w:val="004425B4"/>
    <w:rsid w:val="0044629A"/>
    <w:rsid w:val="004473F6"/>
    <w:rsid w:val="00467B5F"/>
    <w:rsid w:val="00494590"/>
    <w:rsid w:val="004C52E9"/>
    <w:rsid w:val="004C6720"/>
    <w:rsid w:val="004F2E67"/>
    <w:rsid w:val="004F3161"/>
    <w:rsid w:val="00546D59"/>
    <w:rsid w:val="00566840"/>
    <w:rsid w:val="0058056F"/>
    <w:rsid w:val="005844A0"/>
    <w:rsid w:val="0058696D"/>
    <w:rsid w:val="005941A4"/>
    <w:rsid w:val="005A5FDF"/>
    <w:rsid w:val="005E2AC7"/>
    <w:rsid w:val="005F072D"/>
    <w:rsid w:val="005F14C4"/>
    <w:rsid w:val="0061386A"/>
    <w:rsid w:val="006148A3"/>
    <w:rsid w:val="0063046F"/>
    <w:rsid w:val="00651FAE"/>
    <w:rsid w:val="0068723A"/>
    <w:rsid w:val="006C199C"/>
    <w:rsid w:val="006C6B82"/>
    <w:rsid w:val="006E6502"/>
    <w:rsid w:val="00707EC9"/>
    <w:rsid w:val="00712277"/>
    <w:rsid w:val="00720629"/>
    <w:rsid w:val="00724B4D"/>
    <w:rsid w:val="00744745"/>
    <w:rsid w:val="00744842"/>
    <w:rsid w:val="007C05D4"/>
    <w:rsid w:val="007F460C"/>
    <w:rsid w:val="007F5EF3"/>
    <w:rsid w:val="008011C5"/>
    <w:rsid w:val="00802622"/>
    <w:rsid w:val="00814843"/>
    <w:rsid w:val="00832E0E"/>
    <w:rsid w:val="00853D4B"/>
    <w:rsid w:val="008821E2"/>
    <w:rsid w:val="008945D0"/>
    <w:rsid w:val="00897A29"/>
    <w:rsid w:val="008B2930"/>
    <w:rsid w:val="008E3895"/>
    <w:rsid w:val="008E50B0"/>
    <w:rsid w:val="008E6378"/>
    <w:rsid w:val="008F0D9F"/>
    <w:rsid w:val="009041AF"/>
    <w:rsid w:val="009124FC"/>
    <w:rsid w:val="00925F5C"/>
    <w:rsid w:val="009360C2"/>
    <w:rsid w:val="00943B8F"/>
    <w:rsid w:val="009526A0"/>
    <w:rsid w:val="009825D1"/>
    <w:rsid w:val="009C3378"/>
    <w:rsid w:val="009E3743"/>
    <w:rsid w:val="00A00835"/>
    <w:rsid w:val="00A37DA3"/>
    <w:rsid w:val="00AB1CE9"/>
    <w:rsid w:val="00AB31B3"/>
    <w:rsid w:val="00AC0510"/>
    <w:rsid w:val="00AC6426"/>
    <w:rsid w:val="00AD5C50"/>
    <w:rsid w:val="00AD61D7"/>
    <w:rsid w:val="00B00C3B"/>
    <w:rsid w:val="00B21E6B"/>
    <w:rsid w:val="00B36277"/>
    <w:rsid w:val="00B36D13"/>
    <w:rsid w:val="00B508DA"/>
    <w:rsid w:val="00B50C87"/>
    <w:rsid w:val="00B90E41"/>
    <w:rsid w:val="00BA565D"/>
    <w:rsid w:val="00BB2837"/>
    <w:rsid w:val="00BB5E2D"/>
    <w:rsid w:val="00BD4930"/>
    <w:rsid w:val="00BE12A5"/>
    <w:rsid w:val="00BF6746"/>
    <w:rsid w:val="00C04777"/>
    <w:rsid w:val="00C07C14"/>
    <w:rsid w:val="00C5002E"/>
    <w:rsid w:val="00C57CF3"/>
    <w:rsid w:val="00C6717C"/>
    <w:rsid w:val="00C77783"/>
    <w:rsid w:val="00C928F7"/>
    <w:rsid w:val="00CA7C91"/>
    <w:rsid w:val="00CA7F87"/>
    <w:rsid w:val="00CF766E"/>
    <w:rsid w:val="00D162B5"/>
    <w:rsid w:val="00D3766E"/>
    <w:rsid w:val="00D4125F"/>
    <w:rsid w:val="00D56C0C"/>
    <w:rsid w:val="00DB3AE3"/>
    <w:rsid w:val="00DE79DC"/>
    <w:rsid w:val="00E575A9"/>
    <w:rsid w:val="00E65486"/>
    <w:rsid w:val="00E93F08"/>
    <w:rsid w:val="00EA553C"/>
    <w:rsid w:val="00ED63B0"/>
    <w:rsid w:val="00F75EE1"/>
    <w:rsid w:val="00FB53BD"/>
    <w:rsid w:val="00FB58A3"/>
    <w:rsid w:val="00FB5E5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strokecolor="red"/>
    </o:shapedefaults>
    <o:shapelayout v:ext="edit">
      <o:idmap v:ext="edit" data="1"/>
    </o:shapelayout>
  </w:shapeDefaults>
  <w:doNotEmbedSmartTags/>
  <w:decimalSymbol w:val="."/>
  <w:listSeparator w:val=","/>
  <w14:docId w14:val="59775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23A"/>
    <w:rPr>
      <w:sz w:val="24"/>
      <w:szCs w:val="24"/>
    </w:rPr>
  </w:style>
  <w:style w:type="paragraph" w:styleId="Heading1">
    <w:name w:val="heading 1"/>
    <w:basedOn w:val="Normal"/>
    <w:next w:val="Normal"/>
    <w:link w:val="Heading1Char"/>
    <w:uiPriority w:val="9"/>
    <w:qFormat/>
    <w:rsid w:val="0068723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4DBF"/>
    <w:rPr>
      <w:rFonts w:ascii="Lucida Grande" w:hAnsi="Lucida Grande"/>
      <w:sz w:val="18"/>
      <w:szCs w:val="18"/>
    </w:rPr>
  </w:style>
  <w:style w:type="character" w:customStyle="1" w:styleId="BalloonTextChar">
    <w:name w:val="Balloon Text Char"/>
    <w:basedOn w:val="DefaultParagraphFont"/>
    <w:link w:val="BalloonText"/>
    <w:uiPriority w:val="99"/>
    <w:semiHidden/>
    <w:rsid w:val="001D4DBF"/>
    <w:rPr>
      <w:rFonts w:ascii="Lucida Grande" w:hAnsi="Lucida Grande"/>
      <w:sz w:val="18"/>
      <w:szCs w:val="18"/>
    </w:rPr>
  </w:style>
  <w:style w:type="character" w:customStyle="1" w:styleId="Heading1Char">
    <w:name w:val="Heading 1 Char"/>
    <w:basedOn w:val="DefaultParagraphFont"/>
    <w:link w:val="Heading1"/>
    <w:uiPriority w:val="9"/>
    <w:rsid w:val="0068723A"/>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68723A"/>
    <w:pPr>
      <w:ind w:left="720"/>
      <w:contextualSpacing/>
    </w:pPr>
  </w:style>
  <w:style w:type="character" w:styleId="Hyperlink">
    <w:name w:val="Hyperlink"/>
    <w:basedOn w:val="DefaultParagraphFont"/>
    <w:rsid w:val="0068723A"/>
    <w:rPr>
      <w:color w:val="0000FF"/>
      <w:u w:val="single"/>
    </w:rPr>
  </w:style>
  <w:style w:type="character" w:styleId="HTMLCite">
    <w:name w:val="HTML Cite"/>
    <w:basedOn w:val="DefaultParagraphFont"/>
    <w:uiPriority w:val="99"/>
    <w:rsid w:val="0068723A"/>
    <w:rPr>
      <w:i/>
    </w:rPr>
  </w:style>
  <w:style w:type="paragraph" w:styleId="FootnoteText">
    <w:name w:val="footnote text"/>
    <w:basedOn w:val="Normal"/>
    <w:link w:val="FootnoteTextChar"/>
    <w:unhideWhenUsed/>
    <w:rsid w:val="0068723A"/>
    <w:rPr>
      <w:rFonts w:ascii="Cambria" w:eastAsia="Cambria" w:hAnsi="Cambria" w:cs="Times New Roman"/>
    </w:rPr>
  </w:style>
  <w:style w:type="character" w:customStyle="1" w:styleId="FootnoteTextChar">
    <w:name w:val="Footnote Text Char"/>
    <w:basedOn w:val="DefaultParagraphFont"/>
    <w:link w:val="FootnoteText"/>
    <w:rsid w:val="0068723A"/>
    <w:rPr>
      <w:rFonts w:ascii="Cambria" w:eastAsia="Cambria" w:hAnsi="Cambria" w:cs="Times New Roman"/>
      <w:sz w:val="24"/>
      <w:szCs w:val="24"/>
    </w:rPr>
  </w:style>
  <w:style w:type="paragraph" w:styleId="BodyTextIndent">
    <w:name w:val="Body Text Indent"/>
    <w:basedOn w:val="Normal"/>
    <w:link w:val="BodyTextIndentChar"/>
    <w:rsid w:val="004473F6"/>
    <w:pPr>
      <w:ind w:left="72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4473F6"/>
    <w:rPr>
      <w:rFonts w:ascii="Times New Roman" w:eastAsia="Times New Roman" w:hAnsi="Times New Roman" w:cs="Times New Roman"/>
      <w:sz w:val="24"/>
      <w:szCs w:val="24"/>
    </w:rPr>
  </w:style>
  <w:style w:type="character" w:styleId="PageNumber">
    <w:name w:val="page number"/>
    <w:basedOn w:val="DefaultParagraphFont"/>
    <w:rsid w:val="00221DED"/>
  </w:style>
  <w:style w:type="character" w:styleId="FootnoteReference">
    <w:name w:val="footnote reference"/>
    <w:basedOn w:val="DefaultParagraphFont"/>
    <w:semiHidden/>
    <w:rsid w:val="00221DED"/>
    <w:rPr>
      <w:vertAlign w:val="superscript"/>
    </w:rPr>
  </w:style>
  <w:style w:type="paragraph" w:styleId="Header">
    <w:name w:val="header"/>
    <w:basedOn w:val="Normal"/>
    <w:link w:val="HeaderChar"/>
    <w:uiPriority w:val="99"/>
    <w:unhideWhenUsed/>
    <w:rsid w:val="002C038E"/>
    <w:pPr>
      <w:tabs>
        <w:tab w:val="center" w:pos="4680"/>
        <w:tab w:val="right" w:pos="9360"/>
      </w:tabs>
    </w:pPr>
  </w:style>
  <w:style w:type="character" w:customStyle="1" w:styleId="HeaderChar">
    <w:name w:val="Header Char"/>
    <w:basedOn w:val="DefaultParagraphFont"/>
    <w:link w:val="Header"/>
    <w:uiPriority w:val="99"/>
    <w:rsid w:val="002C038E"/>
    <w:rPr>
      <w:sz w:val="24"/>
      <w:szCs w:val="24"/>
    </w:rPr>
  </w:style>
  <w:style w:type="paragraph" w:styleId="Footer">
    <w:name w:val="footer"/>
    <w:basedOn w:val="Normal"/>
    <w:link w:val="FooterChar"/>
    <w:uiPriority w:val="99"/>
    <w:unhideWhenUsed/>
    <w:rsid w:val="002C038E"/>
    <w:pPr>
      <w:tabs>
        <w:tab w:val="center" w:pos="4680"/>
        <w:tab w:val="right" w:pos="9360"/>
      </w:tabs>
    </w:pPr>
  </w:style>
  <w:style w:type="character" w:customStyle="1" w:styleId="FooterChar">
    <w:name w:val="Footer Char"/>
    <w:basedOn w:val="DefaultParagraphFont"/>
    <w:link w:val="Footer"/>
    <w:uiPriority w:val="99"/>
    <w:rsid w:val="002C038E"/>
    <w:rPr>
      <w:sz w:val="24"/>
      <w:szCs w:val="24"/>
    </w:rPr>
  </w:style>
  <w:style w:type="table" w:styleId="TableGrid">
    <w:name w:val="Table Grid"/>
    <w:basedOn w:val="TableNormal"/>
    <w:uiPriority w:val="59"/>
    <w:rsid w:val="0074474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00C3B"/>
    <w:rPr>
      <w:color w:val="808080"/>
    </w:rPr>
  </w:style>
  <w:style w:type="character" w:styleId="CommentReference">
    <w:name w:val="annotation reference"/>
    <w:basedOn w:val="DefaultParagraphFont"/>
    <w:uiPriority w:val="99"/>
    <w:semiHidden/>
    <w:unhideWhenUsed/>
    <w:rsid w:val="00BE12A5"/>
    <w:rPr>
      <w:sz w:val="16"/>
      <w:szCs w:val="16"/>
    </w:rPr>
  </w:style>
  <w:style w:type="paragraph" w:styleId="CommentText">
    <w:name w:val="annotation text"/>
    <w:basedOn w:val="Normal"/>
    <w:link w:val="CommentTextChar"/>
    <w:uiPriority w:val="99"/>
    <w:semiHidden/>
    <w:unhideWhenUsed/>
    <w:rsid w:val="00BE12A5"/>
    <w:rPr>
      <w:sz w:val="20"/>
      <w:szCs w:val="20"/>
    </w:rPr>
  </w:style>
  <w:style w:type="character" w:customStyle="1" w:styleId="CommentTextChar">
    <w:name w:val="Comment Text Char"/>
    <w:basedOn w:val="DefaultParagraphFont"/>
    <w:link w:val="CommentText"/>
    <w:uiPriority w:val="99"/>
    <w:semiHidden/>
    <w:rsid w:val="00BE12A5"/>
  </w:style>
  <w:style w:type="paragraph" w:styleId="CommentSubject">
    <w:name w:val="annotation subject"/>
    <w:basedOn w:val="CommentText"/>
    <w:next w:val="CommentText"/>
    <w:link w:val="CommentSubjectChar"/>
    <w:uiPriority w:val="99"/>
    <w:semiHidden/>
    <w:unhideWhenUsed/>
    <w:rsid w:val="00BE12A5"/>
    <w:rPr>
      <w:b/>
      <w:bCs/>
    </w:rPr>
  </w:style>
  <w:style w:type="character" w:customStyle="1" w:styleId="CommentSubjectChar">
    <w:name w:val="Comment Subject Char"/>
    <w:basedOn w:val="CommentTextChar"/>
    <w:link w:val="CommentSubject"/>
    <w:uiPriority w:val="99"/>
    <w:semiHidden/>
    <w:rsid w:val="00BE12A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23A"/>
    <w:rPr>
      <w:sz w:val="24"/>
      <w:szCs w:val="24"/>
    </w:rPr>
  </w:style>
  <w:style w:type="paragraph" w:styleId="Heading1">
    <w:name w:val="heading 1"/>
    <w:basedOn w:val="Normal"/>
    <w:next w:val="Normal"/>
    <w:link w:val="Heading1Char"/>
    <w:uiPriority w:val="9"/>
    <w:qFormat/>
    <w:rsid w:val="0068723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4DBF"/>
    <w:rPr>
      <w:rFonts w:ascii="Lucida Grande" w:hAnsi="Lucida Grande"/>
      <w:sz w:val="18"/>
      <w:szCs w:val="18"/>
    </w:rPr>
  </w:style>
  <w:style w:type="character" w:customStyle="1" w:styleId="BalloonTextChar">
    <w:name w:val="Balloon Text Char"/>
    <w:basedOn w:val="DefaultParagraphFont"/>
    <w:link w:val="BalloonText"/>
    <w:uiPriority w:val="99"/>
    <w:semiHidden/>
    <w:rsid w:val="001D4DBF"/>
    <w:rPr>
      <w:rFonts w:ascii="Lucida Grande" w:hAnsi="Lucida Grande"/>
      <w:sz w:val="18"/>
      <w:szCs w:val="18"/>
    </w:rPr>
  </w:style>
  <w:style w:type="character" w:customStyle="1" w:styleId="Heading1Char">
    <w:name w:val="Heading 1 Char"/>
    <w:basedOn w:val="DefaultParagraphFont"/>
    <w:link w:val="Heading1"/>
    <w:uiPriority w:val="9"/>
    <w:rsid w:val="0068723A"/>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68723A"/>
    <w:pPr>
      <w:ind w:left="720"/>
      <w:contextualSpacing/>
    </w:pPr>
  </w:style>
  <w:style w:type="character" w:styleId="Hyperlink">
    <w:name w:val="Hyperlink"/>
    <w:basedOn w:val="DefaultParagraphFont"/>
    <w:rsid w:val="0068723A"/>
    <w:rPr>
      <w:color w:val="0000FF"/>
      <w:u w:val="single"/>
    </w:rPr>
  </w:style>
  <w:style w:type="character" w:styleId="HTMLCite">
    <w:name w:val="HTML Cite"/>
    <w:basedOn w:val="DefaultParagraphFont"/>
    <w:uiPriority w:val="99"/>
    <w:rsid w:val="0068723A"/>
    <w:rPr>
      <w:i/>
    </w:rPr>
  </w:style>
  <w:style w:type="paragraph" w:styleId="FootnoteText">
    <w:name w:val="footnote text"/>
    <w:basedOn w:val="Normal"/>
    <w:link w:val="FootnoteTextChar"/>
    <w:unhideWhenUsed/>
    <w:rsid w:val="0068723A"/>
    <w:rPr>
      <w:rFonts w:ascii="Cambria" w:eastAsia="Cambria" w:hAnsi="Cambria" w:cs="Times New Roman"/>
    </w:rPr>
  </w:style>
  <w:style w:type="character" w:customStyle="1" w:styleId="FootnoteTextChar">
    <w:name w:val="Footnote Text Char"/>
    <w:basedOn w:val="DefaultParagraphFont"/>
    <w:link w:val="FootnoteText"/>
    <w:rsid w:val="0068723A"/>
    <w:rPr>
      <w:rFonts w:ascii="Cambria" w:eastAsia="Cambria" w:hAnsi="Cambria" w:cs="Times New Roman"/>
      <w:sz w:val="24"/>
      <w:szCs w:val="24"/>
    </w:rPr>
  </w:style>
  <w:style w:type="paragraph" w:styleId="BodyTextIndent">
    <w:name w:val="Body Text Indent"/>
    <w:basedOn w:val="Normal"/>
    <w:link w:val="BodyTextIndentChar"/>
    <w:rsid w:val="004473F6"/>
    <w:pPr>
      <w:ind w:left="72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4473F6"/>
    <w:rPr>
      <w:rFonts w:ascii="Times New Roman" w:eastAsia="Times New Roman" w:hAnsi="Times New Roman" w:cs="Times New Roman"/>
      <w:sz w:val="24"/>
      <w:szCs w:val="24"/>
    </w:rPr>
  </w:style>
  <w:style w:type="character" w:styleId="PageNumber">
    <w:name w:val="page number"/>
    <w:basedOn w:val="DefaultParagraphFont"/>
    <w:rsid w:val="00221DED"/>
  </w:style>
  <w:style w:type="character" w:styleId="FootnoteReference">
    <w:name w:val="footnote reference"/>
    <w:basedOn w:val="DefaultParagraphFont"/>
    <w:semiHidden/>
    <w:rsid w:val="00221DED"/>
    <w:rPr>
      <w:vertAlign w:val="superscript"/>
    </w:rPr>
  </w:style>
  <w:style w:type="paragraph" w:styleId="Header">
    <w:name w:val="header"/>
    <w:basedOn w:val="Normal"/>
    <w:link w:val="HeaderChar"/>
    <w:uiPriority w:val="99"/>
    <w:unhideWhenUsed/>
    <w:rsid w:val="002C038E"/>
    <w:pPr>
      <w:tabs>
        <w:tab w:val="center" w:pos="4680"/>
        <w:tab w:val="right" w:pos="9360"/>
      </w:tabs>
    </w:pPr>
  </w:style>
  <w:style w:type="character" w:customStyle="1" w:styleId="HeaderChar">
    <w:name w:val="Header Char"/>
    <w:basedOn w:val="DefaultParagraphFont"/>
    <w:link w:val="Header"/>
    <w:uiPriority w:val="99"/>
    <w:rsid w:val="002C038E"/>
    <w:rPr>
      <w:sz w:val="24"/>
      <w:szCs w:val="24"/>
    </w:rPr>
  </w:style>
  <w:style w:type="paragraph" w:styleId="Footer">
    <w:name w:val="footer"/>
    <w:basedOn w:val="Normal"/>
    <w:link w:val="FooterChar"/>
    <w:uiPriority w:val="99"/>
    <w:unhideWhenUsed/>
    <w:rsid w:val="002C038E"/>
    <w:pPr>
      <w:tabs>
        <w:tab w:val="center" w:pos="4680"/>
        <w:tab w:val="right" w:pos="9360"/>
      </w:tabs>
    </w:pPr>
  </w:style>
  <w:style w:type="character" w:customStyle="1" w:styleId="FooterChar">
    <w:name w:val="Footer Char"/>
    <w:basedOn w:val="DefaultParagraphFont"/>
    <w:link w:val="Footer"/>
    <w:uiPriority w:val="99"/>
    <w:rsid w:val="002C038E"/>
    <w:rPr>
      <w:sz w:val="24"/>
      <w:szCs w:val="24"/>
    </w:rPr>
  </w:style>
  <w:style w:type="table" w:styleId="TableGrid">
    <w:name w:val="Table Grid"/>
    <w:basedOn w:val="TableNormal"/>
    <w:uiPriority w:val="59"/>
    <w:rsid w:val="0074474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00C3B"/>
    <w:rPr>
      <w:color w:val="808080"/>
    </w:rPr>
  </w:style>
  <w:style w:type="character" w:styleId="CommentReference">
    <w:name w:val="annotation reference"/>
    <w:basedOn w:val="DefaultParagraphFont"/>
    <w:uiPriority w:val="99"/>
    <w:semiHidden/>
    <w:unhideWhenUsed/>
    <w:rsid w:val="00BE12A5"/>
    <w:rPr>
      <w:sz w:val="16"/>
      <w:szCs w:val="16"/>
    </w:rPr>
  </w:style>
  <w:style w:type="paragraph" w:styleId="CommentText">
    <w:name w:val="annotation text"/>
    <w:basedOn w:val="Normal"/>
    <w:link w:val="CommentTextChar"/>
    <w:uiPriority w:val="99"/>
    <w:semiHidden/>
    <w:unhideWhenUsed/>
    <w:rsid w:val="00BE12A5"/>
    <w:rPr>
      <w:sz w:val="20"/>
      <w:szCs w:val="20"/>
    </w:rPr>
  </w:style>
  <w:style w:type="character" w:customStyle="1" w:styleId="CommentTextChar">
    <w:name w:val="Comment Text Char"/>
    <w:basedOn w:val="DefaultParagraphFont"/>
    <w:link w:val="CommentText"/>
    <w:uiPriority w:val="99"/>
    <w:semiHidden/>
    <w:rsid w:val="00BE12A5"/>
  </w:style>
  <w:style w:type="paragraph" w:styleId="CommentSubject">
    <w:name w:val="annotation subject"/>
    <w:basedOn w:val="CommentText"/>
    <w:next w:val="CommentText"/>
    <w:link w:val="CommentSubjectChar"/>
    <w:uiPriority w:val="99"/>
    <w:semiHidden/>
    <w:unhideWhenUsed/>
    <w:rsid w:val="00BE12A5"/>
    <w:rPr>
      <w:b/>
      <w:bCs/>
    </w:rPr>
  </w:style>
  <w:style w:type="character" w:customStyle="1" w:styleId="CommentSubjectChar">
    <w:name w:val="Comment Subject Char"/>
    <w:basedOn w:val="CommentTextChar"/>
    <w:link w:val="CommentSubject"/>
    <w:uiPriority w:val="99"/>
    <w:semiHidden/>
    <w:rsid w:val="00BE12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dictionaryofeconomics.com/article?id=pde2008_S000448" TargetMode="External"/><Relationship Id="rId20" Type="http://schemas.openxmlformats.org/officeDocument/2006/relationships/hyperlink" Target="http://dyson.cornell.edu/faculty_sites/cbb2/MIFIRA/apps/" TargetMode="External"/><Relationship Id="rId21" Type="http://schemas.openxmlformats.org/officeDocument/2006/relationships/hyperlink" Target="http://dyson.cornell.edu/faculty_sites/cbb2/MIFIRA/apps/" TargetMode="External"/><Relationship Id="rId22" Type="http://schemas.openxmlformats.org/officeDocument/2006/relationships/hyperlink" Target="http://dyson.cornell.edu/faculty_sites/cbb2/MIFIRA/apps/" TargetMode="External"/><Relationship Id="rId23" Type="http://schemas.openxmlformats.org/officeDocument/2006/relationships/hyperlink" Target="http://dx.doi.org/10.1016%2FS1574-0072%2801%2910025-3" TargetMode="External"/><Relationship Id="rId24" Type="http://schemas.openxmlformats.org/officeDocument/2006/relationships/hyperlink" Target="http://www.sciencedirect.com/science/article/pii/S1574007201100253" TargetMode="External"/><Relationship Id="rId25" Type="http://schemas.openxmlformats.org/officeDocument/2006/relationships/hyperlink" Target="http://www.ratin.net/" TargetMode="External"/><Relationship Id="rId26" Type="http://schemas.openxmlformats.org/officeDocument/2006/relationships/footer" Target="footer1.xml"/><Relationship Id="rId27" Type="http://schemas.openxmlformats.org/officeDocument/2006/relationships/footer" Target="footer2.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documents.wfp.org/stellent/groups/public/documents/manual_guide_proced/wfp187901.pdf" TargetMode="External"/><Relationship Id="rId11" Type="http://schemas.openxmlformats.org/officeDocument/2006/relationships/hyperlink" Target="http://dyson.cornell.edu/faculty_sites/cbb2/MIFIRA/apps/" TargetMode="External"/><Relationship Id="rId12" Type="http://schemas.openxmlformats.org/officeDocument/2006/relationships/hyperlink" Target="http://dyson.cornell.edu/faculty_sites/cbb2/MIFIRA/apps/" TargetMode="External"/><Relationship Id="rId13" Type="http://schemas.openxmlformats.org/officeDocument/2006/relationships/hyperlink" Target="http://dyson.cornell.edu/faculty_sites/cbb2/MIFIRA/apps/" TargetMode="External"/><Relationship Id="rId14" Type="http://schemas.openxmlformats.org/officeDocument/2006/relationships/hyperlink" Target="http://dyson.cornell.edu/faculty_sites/cbb2/MIFIRA/apps/" TargetMode="External"/><Relationship Id="rId15" Type="http://schemas.openxmlformats.org/officeDocument/2006/relationships/hyperlink" Target="http://dx.doi.org/10.1016%2FS1574-0072%2801%2910025-3" TargetMode="External"/><Relationship Id="rId16" Type="http://schemas.openxmlformats.org/officeDocument/2006/relationships/hyperlink" Target="http://www.sciencedirect.com/science/article/pii/S1574007201100253" TargetMode="External"/><Relationship Id="rId17" Type="http://schemas.openxmlformats.org/officeDocument/2006/relationships/hyperlink" Target="http://www.dictionaryofeconomics.com/article?id=pde2008_S000448" TargetMode="External"/><Relationship Id="rId18" Type="http://schemas.openxmlformats.org/officeDocument/2006/relationships/hyperlink" Target="http://documents.wfp.org/stellent/groups/public/documents/manual_guide_proced/wfp187901.pdf" TargetMode="External"/><Relationship Id="rId19" Type="http://schemas.openxmlformats.org/officeDocument/2006/relationships/hyperlink" Target="http://dyson.cornell.edu/faculty_sites/cbb2/MIFIRA/app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onlinelibrary.wiley.com/doi/10.1111/j.1468-0084.2011.00651.x/abstract;jsessionid=5D185475BA8822C114131A92295EB463.d04t03?systemMessage=Wiley+Online+Library+will+be+disrupted+24+March+from+10-14+GMT+%2806-10+EDT%29+for+essential+maintenance&amp;userIsAuthenticated=false&amp;deniedAccessCustomisedMess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074E965-0D1B-F44D-9A38-8CE0075CF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3008</Words>
  <Characters>17149</Characters>
  <Application>Microsoft Macintosh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20117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Lentz</dc:creator>
  <cp:lastModifiedBy>Erin Lentz</cp:lastModifiedBy>
  <cp:revision>3</cp:revision>
  <cp:lastPrinted>2010-02-15T01:41:00Z</cp:lastPrinted>
  <dcterms:created xsi:type="dcterms:W3CDTF">2012-03-28T00:36:00Z</dcterms:created>
  <dcterms:modified xsi:type="dcterms:W3CDTF">2012-03-30T14:08:00Z</dcterms:modified>
</cp:coreProperties>
</file>